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pBdr>
          <w:top w:val="single" w:color="auto" w:sz="4" w:space="0"/>
        </w:pBdr>
      </w:pPr>
    </w:p>
    <w:p>
      <w:pPr>
        <w:spacing w:line="360" w:lineRule="auto"/>
        <w:jc w:val="center"/>
        <w:rPr>
          <w:sz w:val="24"/>
          <w:szCs w:val="24"/>
        </w:rPr>
      </w:pPr>
      <w:r>
        <w:rPr>
          <w:rFonts w:hint="eastAsia" w:ascii="Arial" w:hAnsi="Arial" w:cs="Arial"/>
          <w:b/>
          <w:sz w:val="48"/>
          <w:szCs w:val="48"/>
        </w:rPr>
        <w:t>QL-JR485使用说明书</w:t>
      </w: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jc w:val="center"/>
        <w:rPr>
          <w:rFonts w:hint="eastAsia"/>
        </w:rP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pPr>
    </w:p>
    <w:p>
      <w:pPr>
        <w:spacing w:line="360" w:lineRule="auto"/>
        <w:jc w:val="center"/>
        <w:rPr>
          <w:sz w:val="24"/>
          <w:szCs w:val="24"/>
        </w:rPr>
      </w:pPr>
      <w:r>
        <w:rPr>
          <w:rFonts w:hint="eastAsia"/>
          <w:sz w:val="24"/>
          <w:szCs w:val="24"/>
        </w:rPr>
        <w:t>蚌埠启力传感系统工程有限公司</w:t>
      </w:r>
    </w:p>
    <w:p>
      <w:pPr>
        <w:spacing w:line="360" w:lineRule="auto"/>
        <w:jc w:val="center"/>
        <w:rPr>
          <w:rFonts w:hint="eastAsia"/>
          <w:sz w:val="24"/>
          <w:szCs w:val="24"/>
        </w:rPr>
      </w:pPr>
      <w:r>
        <w:fldChar w:fldCharType="begin"/>
      </w:r>
      <w:r>
        <w:instrText xml:space="preserve"> HYPERLINK "http://www.bbqili.com" </w:instrText>
      </w:r>
      <w:r>
        <w:fldChar w:fldCharType="separate"/>
      </w:r>
      <w:r>
        <w:rPr>
          <w:rStyle w:val="17"/>
          <w:rFonts w:hint="eastAsia"/>
          <w:sz w:val="24"/>
          <w:szCs w:val="24"/>
        </w:rPr>
        <w:t>www.bbqili.com</w:t>
      </w:r>
      <w:r>
        <w:rPr>
          <w:rStyle w:val="17"/>
          <w:rFonts w:hint="eastAsia"/>
          <w:sz w:val="24"/>
          <w:szCs w:val="24"/>
        </w:rPr>
        <w:fldChar w:fldCharType="end"/>
      </w:r>
    </w:p>
    <w:p>
      <w:pPr>
        <w:spacing w:line="360" w:lineRule="auto"/>
        <w:jc w:val="center"/>
        <w:rPr>
          <w:sz w:val="24"/>
          <w:szCs w:val="24"/>
        </w:rPr>
      </w:pPr>
      <w:r>
        <w:rPr>
          <w:rFonts w:hint="eastAsia"/>
          <w:sz w:val="24"/>
          <w:szCs w:val="24"/>
        </w:rPr>
        <w:t>版本：1.0</w:t>
      </w:r>
    </w:p>
    <w:p>
      <w:pPr>
        <w:spacing w:line="360" w:lineRule="auto"/>
        <w:jc w:val="center"/>
        <w:rPr>
          <w:sz w:val="24"/>
          <w:szCs w:val="24"/>
        </w:rPr>
      </w:pPr>
      <w:r>
        <w:rPr>
          <w:rFonts w:hint="eastAsia"/>
          <w:sz w:val="24"/>
          <w:szCs w:val="24"/>
        </w:rPr>
        <w:t>2017年5月13日</w:t>
      </w:r>
    </w:p>
    <w:p>
      <w:pPr>
        <w:spacing w:line="360" w:lineRule="auto"/>
        <w:jc w:val="center"/>
        <w:rPr>
          <w:sz w:val="24"/>
          <w:szCs w:val="24"/>
        </w:rPr>
      </w:pPr>
    </w:p>
    <w:p>
      <w:pPr>
        <w:spacing w:line="360" w:lineRule="auto"/>
        <w:jc w:val="center"/>
        <w:rPr>
          <w:b/>
          <w:bCs/>
          <w:sz w:val="24"/>
          <w:szCs w:val="24"/>
        </w:rPr>
      </w:pPr>
      <w:r>
        <w:rPr>
          <w:rFonts w:hint="eastAsia"/>
          <w:b/>
          <w:bCs/>
          <w:sz w:val="24"/>
          <w:szCs w:val="24"/>
        </w:rPr>
        <w:t>目录</w:t>
      </w:r>
    </w:p>
    <w:p>
      <w:pPr>
        <w:pStyle w:val="10"/>
        <w:tabs>
          <w:tab w:val="right" w:leader="dot" w:pos="8306"/>
        </w:tabs>
        <w:spacing w:before="118" w:after="118"/>
      </w:pPr>
      <w:r>
        <w:rPr>
          <w:rFonts w:hint="eastAsia"/>
          <w:sz w:val="24"/>
          <w:szCs w:val="24"/>
        </w:rPr>
        <w:fldChar w:fldCharType="begin"/>
      </w:r>
      <w:r>
        <w:rPr>
          <w:rFonts w:hint="eastAsia"/>
          <w:sz w:val="24"/>
          <w:szCs w:val="24"/>
        </w:rPr>
        <w:instrText xml:space="preserve">TOC \o "1-3" \h \u </w:instrText>
      </w:r>
      <w:r>
        <w:rPr>
          <w:rFonts w:hint="eastAsia"/>
          <w:sz w:val="24"/>
          <w:szCs w:val="24"/>
        </w:rPr>
        <w:fldChar w:fldCharType="separate"/>
      </w:r>
      <w:r>
        <w:fldChar w:fldCharType="begin"/>
      </w:r>
      <w:r>
        <w:instrText xml:space="preserve"> HYPERLINK \l "_Toc10217" </w:instrText>
      </w:r>
      <w:r>
        <w:fldChar w:fldCharType="separate"/>
      </w:r>
      <w:r>
        <w:rPr>
          <w:rFonts w:hint="eastAsia"/>
        </w:rPr>
        <w:t>1. 声明</w:t>
      </w:r>
      <w:r>
        <w:tab/>
      </w:r>
      <w:r>
        <w:fldChar w:fldCharType="end"/>
      </w:r>
    </w:p>
    <w:p>
      <w:pPr>
        <w:pStyle w:val="10"/>
        <w:tabs>
          <w:tab w:val="right" w:leader="dot" w:pos="8306"/>
        </w:tabs>
        <w:spacing w:before="118" w:after="118"/>
      </w:pPr>
      <w:r>
        <w:fldChar w:fldCharType="begin"/>
      </w:r>
      <w:r>
        <w:instrText xml:space="preserve"> HYPERLINK \l "_Toc5976" </w:instrText>
      </w:r>
      <w:r>
        <w:fldChar w:fldCharType="separate"/>
      </w:r>
      <w:r>
        <w:rPr>
          <w:rFonts w:hint="eastAsia"/>
        </w:rPr>
        <w:t>2. 概述</w:t>
      </w:r>
      <w:r>
        <w:tab/>
      </w:r>
      <w:r>
        <w:fldChar w:fldCharType="end"/>
      </w:r>
    </w:p>
    <w:p>
      <w:pPr>
        <w:pStyle w:val="10"/>
        <w:tabs>
          <w:tab w:val="right" w:leader="dot" w:pos="8306"/>
        </w:tabs>
        <w:spacing w:before="118" w:after="118"/>
      </w:pPr>
      <w:r>
        <w:fldChar w:fldCharType="begin"/>
      </w:r>
      <w:r>
        <w:instrText xml:space="preserve"> HYPERLINK \l "_Toc4124" </w:instrText>
      </w:r>
      <w:r>
        <w:fldChar w:fldCharType="separate"/>
      </w:r>
      <w:r>
        <w:rPr>
          <w:rFonts w:hint="eastAsia"/>
        </w:rPr>
        <w:t>3. 技术规格</w:t>
      </w:r>
      <w:r>
        <w:tab/>
      </w:r>
      <w:r>
        <w:fldChar w:fldCharType="end"/>
      </w:r>
    </w:p>
    <w:p>
      <w:pPr>
        <w:pStyle w:val="13"/>
        <w:tabs>
          <w:tab w:val="right" w:leader="dot" w:pos="8306"/>
        </w:tabs>
      </w:pPr>
      <w:r>
        <w:fldChar w:fldCharType="begin"/>
      </w:r>
      <w:r>
        <w:instrText xml:space="preserve"> HYPERLINK \l "_Toc27020" </w:instrText>
      </w:r>
      <w:r>
        <w:fldChar w:fldCharType="separate"/>
      </w:r>
      <w:r>
        <w:rPr>
          <w:rFonts w:hint="eastAsia"/>
        </w:rPr>
        <w:t>2.1一般技术规格</w:t>
      </w:r>
      <w:r>
        <w:tab/>
      </w:r>
      <w:r>
        <w:fldChar w:fldCharType="end"/>
      </w:r>
    </w:p>
    <w:p>
      <w:pPr>
        <w:pStyle w:val="13"/>
        <w:tabs>
          <w:tab w:val="right" w:leader="dot" w:pos="8306"/>
        </w:tabs>
      </w:pPr>
      <w:r>
        <w:fldChar w:fldCharType="begin"/>
      </w:r>
      <w:r>
        <w:instrText xml:space="preserve"> HYPERLINK \l "_Toc1848" </w:instrText>
      </w:r>
      <w:r>
        <w:fldChar w:fldCharType="separate"/>
      </w:r>
      <w:r>
        <w:rPr>
          <w:rFonts w:hint="eastAsia"/>
        </w:rPr>
        <w:t>2.2传感器接口性能</w:t>
      </w:r>
      <w:r>
        <w:tab/>
      </w:r>
      <w:r>
        <w:fldChar w:fldCharType="end"/>
      </w:r>
    </w:p>
    <w:p>
      <w:pPr>
        <w:pStyle w:val="13"/>
        <w:tabs>
          <w:tab w:val="right" w:leader="dot" w:pos="8306"/>
        </w:tabs>
      </w:pPr>
      <w:r>
        <w:fldChar w:fldCharType="begin"/>
      </w:r>
      <w:r>
        <w:instrText xml:space="preserve"> HYPERLINK \l "_Toc4267" </w:instrText>
      </w:r>
      <w:r>
        <w:fldChar w:fldCharType="separate"/>
      </w:r>
      <w:r>
        <w:rPr>
          <w:rFonts w:hint="eastAsia"/>
        </w:rPr>
        <w:t>2.3通信接口</w:t>
      </w:r>
      <w:r>
        <w:tab/>
      </w:r>
      <w:r>
        <w:fldChar w:fldCharType="end"/>
      </w:r>
    </w:p>
    <w:p>
      <w:pPr>
        <w:pStyle w:val="10"/>
        <w:tabs>
          <w:tab w:val="right" w:leader="dot" w:pos="8306"/>
        </w:tabs>
        <w:spacing w:before="118" w:after="118"/>
      </w:pPr>
      <w:r>
        <w:fldChar w:fldCharType="begin"/>
      </w:r>
      <w:r>
        <w:instrText xml:space="preserve"> HYPERLINK \l "_Toc27548" </w:instrText>
      </w:r>
      <w:r>
        <w:fldChar w:fldCharType="separate"/>
      </w:r>
      <w:r>
        <w:rPr>
          <w:rFonts w:hint="eastAsia"/>
        </w:rPr>
        <w:t>3安装</w:t>
      </w:r>
      <w:r>
        <w:tab/>
      </w:r>
      <w:r>
        <w:fldChar w:fldCharType="end"/>
      </w:r>
    </w:p>
    <w:p>
      <w:pPr>
        <w:pStyle w:val="13"/>
        <w:tabs>
          <w:tab w:val="right" w:leader="dot" w:pos="8306"/>
        </w:tabs>
      </w:pPr>
      <w:r>
        <w:fldChar w:fldCharType="begin"/>
      </w:r>
      <w:r>
        <w:instrText xml:space="preserve"> HYPERLINK \l "_Toc22752" </w:instrText>
      </w:r>
      <w:r>
        <w:fldChar w:fldCharType="separate"/>
      </w:r>
      <w:r>
        <w:rPr>
          <w:rFonts w:hint="eastAsia"/>
        </w:rPr>
        <w:t>3.1安装环境</w:t>
      </w:r>
      <w:r>
        <w:tab/>
      </w:r>
      <w:r>
        <w:fldChar w:fldCharType="end"/>
      </w:r>
    </w:p>
    <w:p>
      <w:pPr>
        <w:pStyle w:val="13"/>
        <w:tabs>
          <w:tab w:val="right" w:leader="dot" w:pos="8306"/>
        </w:tabs>
      </w:pPr>
      <w:r>
        <w:fldChar w:fldCharType="begin"/>
      </w:r>
      <w:r>
        <w:instrText xml:space="preserve"> HYPERLINK \l "_Toc11006" </w:instrText>
      </w:r>
      <w:r>
        <w:fldChar w:fldCharType="separate"/>
      </w:r>
      <w:r>
        <w:rPr>
          <w:rFonts w:hint="eastAsia"/>
        </w:rPr>
        <w:t>3.2电源</w:t>
      </w:r>
      <w:r>
        <w:tab/>
      </w:r>
      <w:r>
        <w:fldChar w:fldCharType="end"/>
      </w:r>
    </w:p>
    <w:p>
      <w:pPr>
        <w:pStyle w:val="13"/>
        <w:tabs>
          <w:tab w:val="right" w:leader="dot" w:pos="8306"/>
        </w:tabs>
      </w:pPr>
      <w:r>
        <w:fldChar w:fldCharType="begin"/>
      </w:r>
      <w:r>
        <w:instrText xml:space="preserve"> HYPERLINK \l "_Toc27220" </w:instrText>
      </w:r>
      <w:r>
        <w:fldChar w:fldCharType="separate"/>
      </w:r>
      <w:r>
        <w:rPr>
          <w:rFonts w:hint="eastAsia"/>
        </w:rPr>
        <w:t>3.3接口连接</w:t>
      </w:r>
      <w:r>
        <w:tab/>
      </w:r>
      <w:r>
        <w:fldChar w:fldCharType="end"/>
      </w:r>
    </w:p>
    <w:p>
      <w:pPr>
        <w:pStyle w:val="13"/>
        <w:tabs>
          <w:tab w:val="right" w:leader="dot" w:pos="8306"/>
        </w:tabs>
      </w:pPr>
      <w:r>
        <w:fldChar w:fldCharType="begin"/>
      </w:r>
      <w:r>
        <w:instrText xml:space="preserve"> HYPERLINK \l "_Toc16621" </w:instrText>
      </w:r>
      <w:r>
        <w:fldChar w:fldCharType="separate"/>
      </w:r>
      <w:r>
        <w:rPr>
          <w:rFonts w:hint="eastAsia"/>
        </w:rPr>
        <w:t>3.4传感器接线示意图</w:t>
      </w:r>
      <w:r>
        <w:tab/>
      </w:r>
      <w:r>
        <w:fldChar w:fldCharType="end"/>
      </w:r>
    </w:p>
    <w:p>
      <w:pPr>
        <w:pStyle w:val="13"/>
        <w:tabs>
          <w:tab w:val="right" w:leader="dot" w:pos="8306"/>
        </w:tabs>
      </w:pPr>
      <w:r>
        <w:fldChar w:fldCharType="begin"/>
      </w:r>
      <w:r>
        <w:instrText xml:space="preserve"> HYPERLINK \l "_Toc7746" </w:instrText>
      </w:r>
      <w:r>
        <w:fldChar w:fldCharType="separate"/>
      </w:r>
      <w:r>
        <w:rPr>
          <w:rFonts w:hint="eastAsia"/>
        </w:rPr>
        <w:t>3.5 RS485接口</w:t>
      </w:r>
      <w:r>
        <w:tab/>
      </w:r>
      <w:r>
        <w:fldChar w:fldCharType="end"/>
      </w:r>
    </w:p>
    <w:p>
      <w:pPr>
        <w:pStyle w:val="13"/>
        <w:tabs>
          <w:tab w:val="right" w:leader="dot" w:pos="8306"/>
        </w:tabs>
      </w:pPr>
      <w:r>
        <w:fldChar w:fldCharType="begin"/>
      </w:r>
      <w:r>
        <w:instrText xml:space="preserve"> HYPERLINK \l "_Toc17942" </w:instrText>
      </w:r>
      <w:r>
        <w:fldChar w:fldCharType="separate"/>
      </w:r>
      <w:r>
        <w:rPr>
          <w:rFonts w:hint="eastAsia"/>
        </w:rPr>
        <w:t>3.6拨码开关与站地址</w:t>
      </w:r>
      <w:r>
        <w:tab/>
      </w:r>
      <w:r>
        <w:fldChar w:fldCharType="end"/>
      </w:r>
    </w:p>
    <w:p>
      <w:pPr>
        <w:pStyle w:val="13"/>
        <w:tabs>
          <w:tab w:val="right" w:leader="dot" w:pos="8306"/>
        </w:tabs>
      </w:pPr>
      <w:r>
        <w:fldChar w:fldCharType="begin"/>
      </w:r>
      <w:r>
        <w:instrText xml:space="preserve"> HYPERLINK \l "_Toc9616" </w:instrText>
      </w:r>
      <w:r>
        <w:fldChar w:fldCharType="separate"/>
      </w:r>
      <w:r>
        <w:rPr>
          <w:rFonts w:hint="eastAsia"/>
        </w:rPr>
        <w:t>3.7指示灯</w:t>
      </w:r>
      <w:r>
        <w:tab/>
      </w:r>
      <w:r>
        <w:fldChar w:fldCharType="end"/>
      </w:r>
    </w:p>
    <w:p>
      <w:pPr>
        <w:pStyle w:val="13"/>
        <w:tabs>
          <w:tab w:val="right" w:leader="dot" w:pos="8306"/>
        </w:tabs>
      </w:pPr>
      <w:r>
        <w:fldChar w:fldCharType="begin"/>
      </w:r>
      <w:r>
        <w:instrText xml:space="preserve"> HYPERLINK \l "_Toc32493" </w:instrText>
      </w:r>
      <w:r>
        <w:fldChar w:fldCharType="separate"/>
      </w:r>
      <w:r>
        <w:rPr>
          <w:rFonts w:hint="eastAsia"/>
        </w:rPr>
        <w:t>3.8恢复出厂设置</w:t>
      </w:r>
      <w:r>
        <w:tab/>
      </w:r>
      <w:r>
        <w:fldChar w:fldCharType="end"/>
      </w:r>
    </w:p>
    <w:p>
      <w:pPr>
        <w:pStyle w:val="10"/>
        <w:tabs>
          <w:tab w:val="right" w:leader="dot" w:pos="8306"/>
        </w:tabs>
        <w:spacing w:before="118" w:after="118"/>
      </w:pPr>
      <w:r>
        <w:fldChar w:fldCharType="begin"/>
      </w:r>
      <w:r>
        <w:instrText xml:space="preserve"> HYPERLINK \l "_Toc21865" </w:instrText>
      </w:r>
      <w:r>
        <w:fldChar w:fldCharType="separate"/>
      </w:r>
      <w:r>
        <w:rPr>
          <w:rFonts w:hint="eastAsia"/>
        </w:rPr>
        <w:t>4应用</w:t>
      </w:r>
      <w:r>
        <w:tab/>
      </w:r>
      <w:r>
        <w:fldChar w:fldCharType="end"/>
      </w:r>
    </w:p>
    <w:p>
      <w:pPr>
        <w:pStyle w:val="13"/>
        <w:tabs>
          <w:tab w:val="right" w:leader="dot" w:pos="8306"/>
        </w:tabs>
      </w:pPr>
      <w:r>
        <w:fldChar w:fldCharType="begin"/>
      </w:r>
      <w:r>
        <w:instrText xml:space="preserve"> HYPERLINK \l "_Toc3181" </w:instrText>
      </w:r>
      <w:r>
        <w:fldChar w:fldCharType="separate"/>
      </w:r>
      <w:r>
        <w:rPr>
          <w:rFonts w:hint="eastAsia"/>
        </w:rPr>
        <w:t>4.1校准</w:t>
      </w:r>
      <w:r>
        <w:tab/>
      </w:r>
      <w:r>
        <w:fldChar w:fldCharType="end"/>
      </w:r>
    </w:p>
    <w:p>
      <w:pPr>
        <w:pStyle w:val="13"/>
        <w:tabs>
          <w:tab w:val="right" w:leader="dot" w:pos="8306"/>
        </w:tabs>
      </w:pPr>
      <w:r>
        <w:fldChar w:fldCharType="begin"/>
      </w:r>
      <w:r>
        <w:instrText xml:space="preserve"> HYPERLINK \l "_Toc20840" </w:instrText>
      </w:r>
      <w:r>
        <w:fldChar w:fldCharType="separate"/>
      </w:r>
      <w:r>
        <w:rPr>
          <w:rFonts w:hint="eastAsia"/>
        </w:rPr>
        <w:t>4.1去皮（清零）</w:t>
      </w:r>
      <w:r>
        <w:tab/>
      </w:r>
      <w:r>
        <w:fldChar w:fldCharType="end"/>
      </w:r>
    </w:p>
    <w:p>
      <w:pPr>
        <w:pStyle w:val="13"/>
        <w:tabs>
          <w:tab w:val="right" w:leader="dot" w:pos="8306"/>
        </w:tabs>
      </w:pPr>
      <w:r>
        <w:fldChar w:fldCharType="begin"/>
      </w:r>
      <w:r>
        <w:instrText xml:space="preserve"> HYPERLINK \l "_Toc14348" </w:instrText>
      </w:r>
      <w:r>
        <w:fldChar w:fldCharType="separate"/>
      </w:r>
      <w:r>
        <w:rPr>
          <w:rFonts w:hint="eastAsia"/>
        </w:rPr>
        <w:t>4.2指令时间</w:t>
      </w:r>
      <w:r>
        <w:tab/>
      </w:r>
      <w:r>
        <w:fldChar w:fldCharType="end"/>
      </w:r>
    </w:p>
    <w:p>
      <w:pPr>
        <w:pStyle w:val="10"/>
        <w:tabs>
          <w:tab w:val="right" w:leader="dot" w:pos="8306"/>
        </w:tabs>
        <w:spacing w:before="118" w:after="118"/>
      </w:pPr>
      <w:r>
        <w:fldChar w:fldCharType="begin"/>
      </w:r>
      <w:r>
        <w:instrText xml:space="preserve"> HYPERLINK \l "_Toc18516" </w:instrText>
      </w:r>
      <w:r>
        <w:fldChar w:fldCharType="separate"/>
      </w:r>
      <w:r>
        <w:rPr>
          <w:rFonts w:hint="eastAsia"/>
        </w:rPr>
        <w:t>5通信协议</w:t>
      </w:r>
      <w:r>
        <w:tab/>
      </w:r>
      <w:r>
        <w:fldChar w:fldCharType="end"/>
      </w:r>
    </w:p>
    <w:p>
      <w:pPr>
        <w:pStyle w:val="13"/>
        <w:tabs>
          <w:tab w:val="right" w:leader="dot" w:pos="8306"/>
        </w:tabs>
      </w:pPr>
      <w:r>
        <w:fldChar w:fldCharType="begin"/>
      </w:r>
      <w:r>
        <w:instrText xml:space="preserve"> HYPERLINK \l "_Toc23572" </w:instrText>
      </w:r>
      <w:r>
        <w:fldChar w:fldCharType="separate"/>
      </w:r>
      <w:r>
        <w:rPr>
          <w:rFonts w:hint="eastAsia"/>
        </w:rPr>
        <w:t>5.1 Modbus-RTU协议</w:t>
      </w:r>
      <w:r>
        <w:tab/>
      </w:r>
      <w:r>
        <w:fldChar w:fldCharType="end"/>
      </w:r>
    </w:p>
    <w:p>
      <w:pPr>
        <w:pStyle w:val="13"/>
        <w:tabs>
          <w:tab w:val="right" w:leader="dot" w:pos="8306"/>
        </w:tabs>
      </w:pPr>
      <w:r>
        <w:fldChar w:fldCharType="begin"/>
      </w:r>
      <w:r>
        <w:instrText xml:space="preserve"> HYPERLINK \l "_Toc24443" </w:instrText>
      </w:r>
      <w:r>
        <w:fldChar w:fldCharType="separate"/>
      </w:r>
      <w:r>
        <w:rPr>
          <w:rFonts w:hint="eastAsia"/>
        </w:rPr>
        <w:t>5.2寄存器详解</w:t>
      </w:r>
      <w:r>
        <w:tab/>
      </w:r>
      <w:r>
        <w:fldChar w:fldCharType="end"/>
      </w:r>
    </w:p>
    <w:p>
      <w:pPr>
        <w:pStyle w:val="13"/>
        <w:tabs>
          <w:tab w:val="right" w:leader="dot" w:pos="8306"/>
        </w:tabs>
      </w:pPr>
      <w:r>
        <w:fldChar w:fldCharType="begin"/>
      </w:r>
      <w:r>
        <w:instrText xml:space="preserve"> HYPERLINK \l "_Toc13312" </w:instrText>
      </w:r>
      <w:r>
        <w:fldChar w:fldCharType="separate"/>
      </w:r>
      <w:r>
        <w:rPr>
          <w:rFonts w:hint="eastAsia"/>
        </w:rPr>
        <w:t>5.4指令举例</w:t>
      </w:r>
      <w:r>
        <w:tab/>
      </w:r>
      <w:r>
        <w:fldChar w:fldCharType="end"/>
      </w:r>
    </w:p>
    <w:p>
      <w:pPr>
        <w:pStyle w:val="10"/>
        <w:tabs>
          <w:tab w:val="right" w:leader="dot" w:pos="8306"/>
        </w:tabs>
        <w:spacing w:before="118" w:after="118"/>
      </w:pPr>
      <w:r>
        <w:fldChar w:fldCharType="begin"/>
      </w:r>
      <w:r>
        <w:instrText xml:space="preserve"> HYPERLINK \l "_Toc2609" </w:instrText>
      </w:r>
      <w:r>
        <w:fldChar w:fldCharType="separate"/>
      </w:r>
      <w:r>
        <w:rPr>
          <w:rFonts w:hint="eastAsia"/>
        </w:rPr>
        <w:t>6安装尺寸</w:t>
      </w:r>
      <w:r>
        <w:tab/>
      </w:r>
      <w:r>
        <w:fldChar w:fldCharType="end"/>
      </w:r>
    </w:p>
    <w:p>
      <w:pPr>
        <w:pStyle w:val="13"/>
        <w:tabs>
          <w:tab w:val="right" w:leader="dot" w:pos="8306"/>
        </w:tabs>
      </w:pPr>
      <w:r>
        <w:fldChar w:fldCharType="begin"/>
      </w:r>
      <w:r>
        <w:instrText xml:space="preserve"> HYPERLINK \l "_Toc31891" </w:instrText>
      </w:r>
      <w:r>
        <w:fldChar w:fldCharType="separate"/>
      </w:r>
      <w:r>
        <w:rPr>
          <w:rFonts w:hint="eastAsia"/>
        </w:rPr>
        <w:t>6.1外壳机械尺寸</w:t>
      </w:r>
      <w:r>
        <w:tab/>
      </w:r>
      <w:r>
        <w:fldChar w:fldCharType="end"/>
      </w:r>
    </w:p>
    <w:p>
      <w:pPr>
        <w:spacing w:line="360" w:lineRule="auto"/>
        <w:jc w:val="center"/>
        <w:rPr>
          <w:sz w:val="24"/>
          <w:szCs w:val="24"/>
        </w:rPr>
      </w:pPr>
      <w:r>
        <w:rPr>
          <w:rFonts w:hint="eastAsia"/>
          <w:szCs w:val="24"/>
        </w:rPr>
        <w:fldChar w:fldCharType="end"/>
      </w: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p>
      <w:pPr>
        <w:pStyle w:val="2"/>
        <w:numPr>
          <w:ilvl w:val="0"/>
          <w:numId w:val="1"/>
        </w:numPr>
      </w:pPr>
      <w:bookmarkStart w:id="0" w:name="_Toc20630"/>
      <w:bookmarkStart w:id="1" w:name="_Toc10217"/>
      <w:bookmarkStart w:id="2" w:name="_Toc5024"/>
      <w:r>
        <w:rPr>
          <w:rFonts w:hint="eastAsia"/>
        </w:rPr>
        <w:t>声明</w:t>
      </w:r>
      <w:bookmarkEnd w:id="0"/>
      <w:bookmarkEnd w:id="1"/>
      <w:bookmarkEnd w:id="2"/>
    </w:p>
    <w:p>
      <w:pPr>
        <w:ind w:firstLine="420"/>
      </w:pPr>
      <w:r>
        <w:rPr>
          <w:rFonts w:hint="eastAsia"/>
        </w:rPr>
        <w:t>由启力传感公司生产的产品，我们尽最大努力提高产品的鲁棒性和长期稳定性，但是由不预期的原因（如浪涌电压，接线脱落，强烈震动等）导致在实际应用过程中是存在故障风险的，故障可能导致产品出现工作异常或停止工作。用户应对产品的应用系统做分析，对产品可能出现的故障做好系统的异常处理，以免对设备的安全运行和操作人员的人身安全造成威胁。工业设备应从设计之初就加入机械或电气部分的故障处理考虑，而不是出现经济损失或人身伤害之后。启力传感不对因产品故障而造成的经济损失和人身伤害承担责任。</w:t>
      </w:r>
    </w:p>
    <w:p>
      <w:pPr>
        <w:pStyle w:val="2"/>
        <w:numPr>
          <w:ilvl w:val="0"/>
          <w:numId w:val="1"/>
        </w:numPr>
      </w:pPr>
      <w:bookmarkStart w:id="3" w:name="_Toc7161"/>
      <w:bookmarkStart w:id="4" w:name="_Toc7146"/>
      <w:bookmarkStart w:id="5" w:name="_Toc5976"/>
      <w:r>
        <w:rPr>
          <w:rFonts w:hint="eastAsia"/>
        </w:rPr>
        <w:t>概述</w:t>
      </w:r>
      <w:bookmarkEnd w:id="3"/>
      <w:bookmarkEnd w:id="4"/>
      <w:bookmarkEnd w:id="5"/>
    </w:p>
    <w:p>
      <w:pPr>
        <w:jc w:val="center"/>
      </w:pPr>
      <w:bookmarkStart w:id="74" w:name="_GoBack"/>
      <w:bookmarkEnd w:id="74"/>
    </w:p>
    <w:p>
      <w:r>
        <w:rPr>
          <w:rFonts w:hint="eastAsia"/>
        </w:rPr>
        <w:t xml:space="preserve">    QL-JR485由启力传感公司自主研发生产的经济型数字称重变送器，该变送器可直接接入惠斯登电阻桥式拉/压力传感器，通过内部信号放大电路和AD采集电路等把传感器的微电压模拟信号转换为数字信号，模块内置的微处理器支持校准算法，经过校准操作后，可以直接从485接口读取到实时重量值。模块输出的485接口支持Modbus-RTU协议。</w:t>
      </w:r>
    </w:p>
    <w:p>
      <w:r>
        <w:rPr>
          <w:rFonts w:hint="eastAsia"/>
        </w:rPr>
        <w:t xml:space="preserve">    该产品适用于：称重、配料、测力等多种工业场合，标准Modbus-RTU通信协议使得模块可以方便的与PLC，DCS，微机等设备连接到一起，作为称重前端信号处理模块。</w:t>
      </w:r>
    </w:p>
    <w:p>
      <w:pPr>
        <w:pStyle w:val="2"/>
        <w:numPr>
          <w:ilvl w:val="0"/>
          <w:numId w:val="1"/>
        </w:numPr>
      </w:pPr>
      <w:bookmarkStart w:id="6" w:name="_Toc20321"/>
      <w:bookmarkStart w:id="7" w:name="_Toc14467"/>
      <w:bookmarkStart w:id="8" w:name="_Toc4124"/>
      <w:r>
        <w:rPr>
          <w:rFonts w:hint="eastAsia"/>
        </w:rPr>
        <w:t>技术规格</w:t>
      </w:r>
      <w:bookmarkEnd w:id="6"/>
      <w:bookmarkEnd w:id="7"/>
      <w:bookmarkEnd w:id="8"/>
    </w:p>
    <w:p>
      <w:pPr>
        <w:pStyle w:val="3"/>
      </w:pPr>
      <w:bookmarkStart w:id="9" w:name="_Toc10838"/>
      <w:bookmarkStart w:id="10" w:name="_Toc9364"/>
      <w:bookmarkStart w:id="11" w:name="_Toc27020"/>
      <w:r>
        <w:rPr>
          <w:rFonts w:hint="eastAsia"/>
        </w:rPr>
        <w:t>2.1一般技术规格</w:t>
      </w:r>
      <w:bookmarkEnd w:id="9"/>
      <w:bookmarkEnd w:id="10"/>
      <w:bookmarkEnd w:id="11"/>
    </w:p>
    <w:p>
      <w:r>
        <w:rPr>
          <w:rFonts w:hint="eastAsia"/>
        </w:rPr>
        <w:tab/>
      </w:r>
      <w:r>
        <w:rPr>
          <w:rFonts w:hint="eastAsia"/>
        </w:rPr>
        <w:tab/>
      </w:r>
      <w:r>
        <w:rPr>
          <w:rFonts w:hint="eastAsia"/>
        </w:rPr>
        <w:t>供电电源：</w:t>
      </w:r>
      <w:r>
        <w:rPr>
          <w:rFonts w:hint="eastAsia"/>
        </w:rPr>
        <w:tab/>
      </w:r>
      <w:r>
        <w:rPr>
          <w:rFonts w:hint="eastAsia"/>
        </w:rPr>
        <w:t>直流9~28VDC</w:t>
      </w:r>
    </w:p>
    <w:p>
      <w:pPr>
        <w:ind w:left="420" w:firstLine="420"/>
      </w:pPr>
      <w:r>
        <w:rPr>
          <w:rFonts w:hint="eastAsia"/>
        </w:rPr>
        <w:t>功耗    ：  &lt;1W</w:t>
      </w:r>
    </w:p>
    <w:p>
      <w:pPr>
        <w:ind w:left="420" w:firstLine="420"/>
        <w:rPr>
          <w:rFonts w:eastAsia="宋体"/>
        </w:rPr>
      </w:pPr>
      <w:r>
        <w:rPr>
          <w:rFonts w:hint="eastAsia"/>
        </w:rPr>
        <w:t>工作电流：  根据外接传感器数量和供电电压而异</w:t>
      </w:r>
    </w:p>
    <w:p>
      <w:pPr>
        <w:ind w:left="420" w:firstLine="420"/>
      </w:pPr>
      <w:r>
        <w:rPr>
          <w:rFonts w:hint="eastAsia"/>
        </w:rPr>
        <w:t>适用环境：  温度：-40~85℃</w:t>
      </w:r>
    </w:p>
    <w:p>
      <w:pPr>
        <w:ind w:left="1680" w:firstLine="420"/>
      </w:pPr>
      <w:r>
        <w:rPr>
          <w:rFonts w:hint="eastAsia"/>
        </w:rPr>
        <w:t>湿度：0% ~ 95%（无凝露）</w:t>
      </w:r>
    </w:p>
    <w:p>
      <w:pPr>
        <w:ind w:left="420" w:firstLine="420"/>
      </w:pPr>
      <w:r>
        <w:rPr>
          <w:rFonts w:hint="eastAsia"/>
        </w:rPr>
        <w:t>防护等级：</w:t>
      </w:r>
      <w:r>
        <w:rPr>
          <w:rFonts w:hint="eastAsia"/>
        </w:rPr>
        <w:tab/>
      </w:r>
      <w:r>
        <w:rPr>
          <w:rFonts w:hint="eastAsia"/>
        </w:rPr>
        <w:t>IP65</w:t>
      </w:r>
    </w:p>
    <w:p>
      <w:pPr>
        <w:ind w:left="420" w:firstLine="420"/>
      </w:pPr>
      <w:r>
        <w:rPr>
          <w:rFonts w:hint="eastAsia"/>
        </w:rPr>
        <w:t>安装方式：</w:t>
      </w:r>
      <w:r>
        <w:rPr>
          <w:rFonts w:hint="eastAsia"/>
        </w:rPr>
        <w:tab/>
      </w:r>
      <w:r>
        <w:rPr>
          <w:rFonts w:hint="eastAsia"/>
        </w:rPr>
        <w:t>安装孔固定</w:t>
      </w:r>
    </w:p>
    <w:p>
      <w:pPr>
        <w:ind w:left="420" w:firstLine="420"/>
      </w:pPr>
      <w:r>
        <w:rPr>
          <w:rFonts w:hint="eastAsia"/>
        </w:rPr>
        <w:t xml:space="preserve">重量 </w:t>
      </w:r>
      <w:r>
        <w:rPr>
          <w:rFonts w:hint="eastAsia"/>
        </w:rPr>
        <w:tab/>
      </w:r>
      <w:r>
        <w:rPr>
          <w:rFonts w:hint="eastAsia"/>
        </w:rPr>
        <w:t>：  ≈0.25kg</w:t>
      </w:r>
    </w:p>
    <w:p>
      <w:pPr>
        <w:pStyle w:val="3"/>
      </w:pPr>
      <w:bookmarkStart w:id="12" w:name="_Toc22614"/>
      <w:bookmarkStart w:id="13" w:name="_Toc13318"/>
      <w:bookmarkStart w:id="14" w:name="_Toc1848"/>
      <w:r>
        <w:rPr>
          <w:rFonts w:hint="eastAsia"/>
        </w:rPr>
        <w:t>2.2传感器接口性能</w:t>
      </w:r>
      <w:bookmarkEnd w:id="12"/>
      <w:bookmarkEnd w:id="13"/>
      <w:bookmarkEnd w:id="14"/>
    </w:p>
    <w:p>
      <w:pPr>
        <w:ind w:left="420" w:firstLine="420"/>
      </w:pPr>
      <w:r>
        <w:rPr>
          <w:rFonts w:hint="eastAsia"/>
        </w:rPr>
        <w:t>适用的传感器类型： 适用于所有惠斯登电阻式应变式传感器</w:t>
      </w:r>
    </w:p>
    <w:p>
      <w:pPr>
        <w:ind w:left="420" w:firstLine="420"/>
      </w:pPr>
      <w:r>
        <w:rPr>
          <w:rFonts w:hint="eastAsia"/>
        </w:rPr>
        <w:t>传感器激励电压  ： 5VDC±3%，最大电流100mA</w:t>
      </w:r>
    </w:p>
    <w:p>
      <w:pPr>
        <w:ind w:left="420" w:firstLine="420"/>
      </w:pPr>
      <w:r>
        <w:rPr>
          <w:rFonts w:hint="eastAsia"/>
        </w:rPr>
        <w:t>传感器驱动能力  ： 4只350Ω传感器</w:t>
      </w:r>
    </w:p>
    <w:p>
      <w:pPr>
        <w:ind w:left="420" w:firstLine="420"/>
      </w:pPr>
      <w:r>
        <w:rPr>
          <w:rFonts w:hint="eastAsia"/>
        </w:rPr>
        <w:t>输入信号范围    ： ±11mV</w:t>
      </w:r>
    </w:p>
    <w:p>
      <w:pPr>
        <w:ind w:left="420" w:firstLine="420"/>
      </w:pPr>
      <w:r>
        <w:rPr>
          <w:rFonts w:hint="eastAsia"/>
        </w:rPr>
        <w:t>温度系数</w:t>
      </w:r>
      <w:r>
        <w:rPr>
          <w:rFonts w:hint="eastAsia"/>
        </w:rPr>
        <w:tab/>
      </w:r>
      <w:r>
        <w:rPr>
          <w:rFonts w:hint="eastAsia"/>
        </w:rPr>
        <w:tab/>
      </w:r>
      <w:r>
        <w:rPr>
          <w:rFonts w:hint="eastAsia"/>
        </w:rPr>
        <w:t>： ≤（读数的0.01%+0.3d）/℃</w:t>
      </w:r>
    </w:p>
    <w:p>
      <w:pPr>
        <w:ind w:left="420" w:firstLine="420"/>
      </w:pPr>
      <w:r>
        <w:rPr>
          <w:rFonts w:hint="eastAsia"/>
        </w:rPr>
        <w:t>非线性误差</w:t>
      </w:r>
      <w:r>
        <w:rPr>
          <w:rFonts w:hint="eastAsia"/>
        </w:rPr>
        <w:tab/>
      </w:r>
      <w:r>
        <w:rPr>
          <w:rFonts w:hint="eastAsia"/>
        </w:rPr>
        <w:tab/>
      </w:r>
      <w:r>
        <w:rPr>
          <w:rFonts w:hint="eastAsia"/>
        </w:rPr>
        <w:t>： ≤0.003%F.S.</w:t>
      </w:r>
    </w:p>
    <w:p>
      <w:pPr>
        <w:ind w:left="420" w:firstLine="420"/>
      </w:pPr>
      <w:r>
        <w:rPr>
          <w:rFonts w:hint="eastAsia"/>
        </w:rPr>
        <w:t>稳定分辨率</w:t>
      </w:r>
      <w:r>
        <w:rPr>
          <w:rFonts w:hint="eastAsia"/>
        </w:rPr>
        <w:tab/>
      </w:r>
      <w:r>
        <w:rPr>
          <w:rFonts w:hint="eastAsia"/>
        </w:rPr>
        <w:tab/>
      </w:r>
      <w:r>
        <w:rPr>
          <w:rFonts w:hint="eastAsia"/>
        </w:rPr>
        <w:t>： 1/10000</w:t>
      </w:r>
    </w:p>
    <w:p>
      <w:pPr>
        <w:ind w:left="420" w:firstLine="420"/>
      </w:pPr>
      <w:r>
        <w:rPr>
          <w:rFonts w:hint="eastAsia"/>
        </w:rPr>
        <w:t>采样速率</w:t>
      </w:r>
      <w:r>
        <w:rPr>
          <w:rFonts w:hint="eastAsia"/>
        </w:rPr>
        <w:tab/>
      </w:r>
      <w:r>
        <w:rPr>
          <w:rFonts w:hint="eastAsia"/>
        </w:rPr>
        <w:tab/>
      </w:r>
      <w:r>
        <w:rPr>
          <w:rFonts w:hint="eastAsia"/>
        </w:rPr>
        <w:t>： 12Hz或50Hz</w:t>
      </w:r>
    </w:p>
    <w:p>
      <w:pPr>
        <w:ind w:left="420" w:firstLine="420"/>
      </w:pPr>
      <w:r>
        <w:rPr>
          <w:rFonts w:hint="eastAsia"/>
        </w:rPr>
        <w:t>采样方式</w:t>
      </w:r>
      <w:r>
        <w:rPr>
          <w:rFonts w:hint="eastAsia"/>
        </w:rPr>
        <w:tab/>
      </w:r>
      <w:r>
        <w:rPr>
          <w:rFonts w:hint="eastAsia"/>
        </w:rPr>
        <w:tab/>
      </w:r>
      <w:r>
        <w:rPr>
          <w:rFonts w:hint="eastAsia"/>
        </w:rPr>
        <w:t>： Sigma Delta AD</w:t>
      </w:r>
    </w:p>
    <w:p>
      <w:pPr>
        <w:pStyle w:val="3"/>
      </w:pPr>
      <w:bookmarkStart w:id="15" w:name="_Toc177"/>
      <w:bookmarkStart w:id="16" w:name="_Toc29930"/>
      <w:bookmarkStart w:id="17" w:name="_Toc4267"/>
      <w:r>
        <w:rPr>
          <w:rFonts w:hint="eastAsia"/>
        </w:rPr>
        <w:t>2.3通信接口</w:t>
      </w:r>
      <w:bookmarkEnd w:id="15"/>
      <w:bookmarkEnd w:id="16"/>
      <w:bookmarkEnd w:id="17"/>
    </w:p>
    <w:p>
      <w:pPr>
        <w:ind w:left="420" w:firstLine="420"/>
      </w:pPr>
      <w:r>
        <w:rPr>
          <w:rFonts w:hint="eastAsia"/>
        </w:rPr>
        <w:t>通信方式</w:t>
      </w:r>
      <w:r>
        <w:rPr>
          <w:rFonts w:hint="eastAsia"/>
        </w:rPr>
        <w:tab/>
      </w:r>
      <w:r>
        <w:rPr>
          <w:rFonts w:hint="eastAsia"/>
        </w:rPr>
        <w:tab/>
      </w:r>
      <w:r>
        <w:rPr>
          <w:rFonts w:hint="eastAsia"/>
        </w:rPr>
        <w:t>： RS485</w:t>
      </w:r>
    </w:p>
    <w:p>
      <w:pPr>
        <w:ind w:left="420" w:firstLine="420"/>
      </w:pPr>
      <w:r>
        <w:rPr>
          <w:rFonts w:hint="eastAsia"/>
        </w:rPr>
        <w:t>通信协议</w:t>
      </w:r>
      <w:r>
        <w:rPr>
          <w:rFonts w:hint="eastAsia"/>
        </w:rPr>
        <w:tab/>
      </w:r>
      <w:r>
        <w:rPr>
          <w:rFonts w:hint="eastAsia"/>
        </w:rPr>
        <w:tab/>
      </w:r>
      <w:r>
        <w:rPr>
          <w:rFonts w:hint="eastAsia"/>
        </w:rPr>
        <w:t>： MODBUS RTU</w:t>
      </w:r>
    </w:p>
    <w:p>
      <w:pPr>
        <w:ind w:left="420" w:firstLine="420"/>
      </w:pPr>
      <w:r>
        <w:rPr>
          <w:rFonts w:hint="eastAsia"/>
        </w:rPr>
        <w:t>出厂参数</w:t>
      </w:r>
      <w:r>
        <w:rPr>
          <w:rFonts w:hint="eastAsia"/>
        </w:rPr>
        <w:tab/>
      </w:r>
      <w:r>
        <w:rPr>
          <w:rFonts w:hint="eastAsia"/>
        </w:rPr>
        <w:tab/>
      </w:r>
      <w:r>
        <w:rPr>
          <w:rFonts w:hint="eastAsia"/>
        </w:rPr>
        <w:t>： 9600波特率，8数据位，1停止位，无校验</w:t>
      </w:r>
    </w:p>
    <w:p>
      <w:pPr>
        <w:ind w:left="420" w:firstLine="420"/>
      </w:pPr>
      <w:r>
        <w:rPr>
          <w:rFonts w:hint="eastAsia"/>
        </w:rPr>
        <w:t>支持波特率</w:t>
      </w:r>
      <w:r>
        <w:rPr>
          <w:rFonts w:hint="eastAsia"/>
        </w:rPr>
        <w:tab/>
      </w:r>
      <w:r>
        <w:rPr>
          <w:rFonts w:hint="eastAsia"/>
        </w:rPr>
        <w:tab/>
      </w:r>
      <w:r>
        <w:rPr>
          <w:rFonts w:hint="eastAsia"/>
        </w:rPr>
        <w:t>： 4800、9600、19200、38400</w:t>
      </w:r>
    </w:p>
    <w:p>
      <w:pPr>
        <w:pStyle w:val="2"/>
      </w:pPr>
      <w:bookmarkStart w:id="18" w:name="_Toc2011"/>
      <w:bookmarkStart w:id="19" w:name="_Toc16868"/>
      <w:bookmarkStart w:id="20" w:name="_Toc27548"/>
      <w:r>
        <w:rPr>
          <w:rFonts w:hint="eastAsia"/>
        </w:rPr>
        <w:t>3安装</w:t>
      </w:r>
      <w:bookmarkEnd w:id="18"/>
      <w:bookmarkEnd w:id="19"/>
      <w:bookmarkEnd w:id="20"/>
    </w:p>
    <w:p>
      <w:pPr>
        <w:pStyle w:val="3"/>
      </w:pPr>
      <w:bookmarkStart w:id="21" w:name="_Toc28545"/>
      <w:bookmarkStart w:id="22" w:name="_Toc20556"/>
      <w:bookmarkStart w:id="23" w:name="_Toc22752"/>
      <w:r>
        <w:rPr>
          <w:rFonts w:hint="eastAsia"/>
        </w:rPr>
        <w:t>3.1安装环境</w:t>
      </w:r>
      <w:bookmarkEnd w:id="21"/>
      <w:bookmarkEnd w:id="22"/>
      <w:bookmarkEnd w:id="23"/>
    </w:p>
    <w:p>
      <w:pPr>
        <w:ind w:firstLine="420" w:firstLineChars="200"/>
      </w:pPr>
      <w:r>
        <w:rPr>
          <w:rFonts w:hint="eastAsia"/>
        </w:rPr>
        <w:t>○本变送器属于精密电子仪器，安装、连接、操作都应十分小心。</w:t>
      </w:r>
    </w:p>
    <w:p>
      <w:pPr>
        <w:ind w:firstLine="420" w:firstLineChars="200"/>
      </w:pPr>
      <w:r>
        <w:rPr>
          <w:rFonts w:hint="eastAsia"/>
        </w:rPr>
        <w:t>○虽然本产品满足工业级温度范围，但是为了保证本变送器的精度，请尽量避免将变送器安装在阳光直射或温度会突然变化的环境中。</w:t>
      </w:r>
    </w:p>
    <w:p>
      <w:pPr>
        <w:ind w:firstLine="420" w:firstLineChars="200"/>
      </w:pPr>
      <w:r>
        <w:rPr>
          <w:rFonts w:hint="eastAsia"/>
        </w:rPr>
        <w:t>○确保变送器有足够的空间透气散热。</w:t>
      </w:r>
    </w:p>
    <w:p>
      <w:pPr>
        <w:ind w:firstLine="420" w:firstLineChars="200"/>
      </w:pPr>
      <w:r>
        <w:rPr>
          <w:rFonts w:hint="eastAsia"/>
        </w:rPr>
        <w:t>○变送器只能防护正常的泼溅水，不可在长期浸泡的环境中使用。</w:t>
      </w:r>
    </w:p>
    <w:p>
      <w:pPr>
        <w:ind w:firstLine="420" w:firstLineChars="200"/>
      </w:pPr>
      <w:r>
        <w:rPr>
          <w:rFonts w:hint="eastAsia"/>
        </w:rPr>
        <w:t>○请避免本变送器的剧烈震动、撞击。</w:t>
      </w:r>
    </w:p>
    <w:p>
      <w:pPr>
        <w:ind w:firstLine="420" w:firstLineChars="200"/>
      </w:pPr>
      <w:r>
        <w:rPr>
          <w:rFonts w:hint="eastAsia"/>
        </w:rPr>
        <w:t>○切勿在任何存在爆炸危险的场所安装本变送器。</w:t>
      </w:r>
    </w:p>
    <w:p>
      <w:pPr>
        <w:pStyle w:val="3"/>
      </w:pPr>
      <w:bookmarkStart w:id="24" w:name="_Toc29438"/>
      <w:bookmarkStart w:id="25" w:name="_Toc11482"/>
      <w:bookmarkStart w:id="26" w:name="_Toc11006"/>
      <w:r>
        <w:rPr>
          <w:rFonts w:hint="eastAsia"/>
        </w:rPr>
        <w:t>3.2电源</w:t>
      </w:r>
      <w:bookmarkEnd w:id="24"/>
      <w:bookmarkEnd w:id="25"/>
      <w:bookmarkEnd w:id="26"/>
    </w:p>
    <w:p>
      <w:r>
        <w:rPr>
          <w:rFonts w:hint="eastAsia"/>
        </w:rPr>
        <w:t xml:space="preserve"> </w:t>
      </w:r>
      <w:r>
        <w:rPr>
          <w:rFonts w:hint="eastAsia"/>
        </w:rPr>
        <w:tab/>
      </w:r>
      <w:r>
        <w:rPr>
          <w:rFonts w:hint="eastAsia"/>
        </w:rPr>
        <w:t>○电源供应：9 ~ 28VDC，容量足够，无瞬变，杂波信号。</w:t>
      </w:r>
    </w:p>
    <w:p>
      <w:pPr>
        <w:ind w:firstLine="420" w:firstLineChars="200"/>
      </w:pPr>
      <w:r>
        <w:rPr>
          <w:rFonts w:hint="eastAsia"/>
        </w:rPr>
        <w:t>○变送器内部可能会形成冷凝，建议始终为变送器接通电源，或定期开盖检查冷凝情况。</w:t>
      </w:r>
    </w:p>
    <w:p>
      <w:pPr>
        <w:ind w:firstLine="420" w:firstLineChars="200"/>
      </w:pPr>
      <w:r>
        <w:rPr>
          <w:rFonts w:hint="eastAsia"/>
        </w:rPr>
        <w:t>○使用适当的电源线，确认电源线的额定电压或电流都满足要求，如果不够的话可能引起漏电或火灾。</w:t>
      </w:r>
    </w:p>
    <w:p>
      <w:pPr>
        <w:ind w:firstLine="420" w:firstLineChars="200"/>
      </w:pPr>
      <w:r>
        <w:rPr>
          <w:rFonts w:hint="eastAsia"/>
        </w:rPr>
        <w:t>○特别注意，在多机取电时，请按照如下方式接电源线：</w:t>
      </w:r>
    </w:p>
    <w:p>
      <w:pPr>
        <w:ind w:firstLine="420" w:firstLineChars="200"/>
      </w:pPr>
      <w:r>
        <w:rPr>
          <w:rFonts w:hint="eastAsia"/>
        </w:rPr>
        <w:drawing>
          <wp:inline distT="0" distB="0" distL="114300" distR="114300">
            <wp:extent cx="4799330" cy="1105535"/>
            <wp:effectExtent l="0" t="0" r="1270" b="18415"/>
            <wp:docPr id="2" name="图片 1" descr="电源接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电源接线"/>
                    <pic:cNvPicPr>
                      <a:picLocks noChangeAspect="1"/>
                    </pic:cNvPicPr>
                  </pic:nvPicPr>
                  <pic:blipFill>
                    <a:blip r:embed="rId6"/>
                    <a:stretch>
                      <a:fillRect/>
                    </a:stretch>
                  </pic:blipFill>
                  <pic:spPr>
                    <a:xfrm>
                      <a:off x="0" y="0"/>
                      <a:ext cx="4799330" cy="1105535"/>
                    </a:xfrm>
                    <a:prstGeom prst="rect">
                      <a:avLst/>
                    </a:prstGeom>
                    <a:noFill/>
                    <a:ln w="9525">
                      <a:noFill/>
                    </a:ln>
                  </pic:spPr>
                </pic:pic>
              </a:graphicData>
            </a:graphic>
          </wp:inline>
        </w:drawing>
      </w:r>
    </w:p>
    <w:p/>
    <w:p>
      <w:pPr>
        <w:pStyle w:val="3"/>
      </w:pPr>
      <w:bookmarkStart w:id="27" w:name="_Toc18050"/>
      <w:bookmarkStart w:id="28" w:name="_Toc9662"/>
      <w:bookmarkStart w:id="29" w:name="_Toc27220"/>
      <w:r>
        <w:rPr>
          <w:rFonts w:hint="eastAsia"/>
        </w:rPr>
        <w:t>3.3接口连接</w:t>
      </w:r>
      <w:bookmarkEnd w:id="27"/>
      <w:bookmarkEnd w:id="28"/>
      <w:bookmarkEnd w:id="29"/>
    </w:p>
    <w:p>
      <w:r>
        <w:rPr>
          <w:rFonts w:hint="eastAsia"/>
        </w:rPr>
        <w:t>模块的接线方式如下图所示：</w:t>
      </w:r>
    </w:p>
    <w:p>
      <w:pPr>
        <w:jc w:val="center"/>
        <w:rPr>
          <w:rFonts w:eastAsia="宋体"/>
        </w:rPr>
      </w:pPr>
      <w:r>
        <w:rPr>
          <w:rFonts w:hint="eastAsia" w:eastAsia="宋体"/>
        </w:rPr>
        <w:drawing>
          <wp:inline distT="0" distB="0" distL="114300" distR="114300">
            <wp:extent cx="5266055" cy="1748790"/>
            <wp:effectExtent l="0" t="0" r="10795" b="381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pic:cNvPicPr>
                  </pic:nvPicPr>
                  <pic:blipFill>
                    <a:blip r:embed="rId7"/>
                    <a:stretch>
                      <a:fillRect/>
                    </a:stretch>
                  </pic:blipFill>
                  <pic:spPr>
                    <a:xfrm>
                      <a:off x="0" y="0"/>
                      <a:ext cx="5266055" cy="1748790"/>
                    </a:xfrm>
                    <a:prstGeom prst="rect">
                      <a:avLst/>
                    </a:prstGeom>
                    <a:noFill/>
                    <a:ln w="9525">
                      <a:noFill/>
                    </a:ln>
                  </pic:spPr>
                </pic:pic>
              </a:graphicData>
            </a:graphic>
          </wp:inline>
        </w:drawing>
      </w:r>
    </w:p>
    <w:p>
      <w:pPr>
        <w:numPr>
          <w:ilvl w:val="0"/>
          <w:numId w:val="2"/>
        </w:numPr>
      </w:pPr>
      <w:r>
        <w:rPr>
          <w:rFonts w:hint="eastAsia"/>
        </w:rPr>
        <w:t>模块连接电源线时应保证电源线没有供电，防止因线头没有固定导致的短路或者误碰模块内部的低电压信号线上。</w:t>
      </w:r>
    </w:p>
    <w:p>
      <w:pPr>
        <w:numPr>
          <w:ilvl w:val="0"/>
          <w:numId w:val="2"/>
        </w:numPr>
      </w:pPr>
      <w:r>
        <w:rPr>
          <w:rFonts w:hint="eastAsia"/>
        </w:rPr>
        <w:t>485线的屏蔽端子一般可以不用标准的屏蔽线，用普通的三根电线即可。若主机（PLC，DCS，计算机等）的485接口带有屏蔽或者共地接线端子，则应该连接上双方的屏蔽端子，以提高通信稳定性。</w:t>
      </w:r>
    </w:p>
    <w:p>
      <w:pPr>
        <w:numPr>
          <w:ilvl w:val="0"/>
          <w:numId w:val="2"/>
        </w:numPr>
      </w:pPr>
      <w:r>
        <w:rPr>
          <w:rFonts w:hint="eastAsia"/>
        </w:rPr>
        <w:t>各个厂家的传感器线色定义可能不同，所以上图不给出带有颜色的接线示意图，防止客户错误参考导致接线错误。请客户在接线前，与传感器厂家确定传感器的线色定义。</w:t>
      </w:r>
    </w:p>
    <w:p>
      <w:pPr>
        <w:numPr>
          <w:ilvl w:val="0"/>
          <w:numId w:val="2"/>
        </w:numPr>
      </w:pPr>
      <w:r>
        <w:rPr>
          <w:rFonts w:hint="eastAsia"/>
        </w:rPr>
        <w:t>传感器的激励和信号线必须只连接到模块上，不可以使用外部激励信号，也不可以与其它采集模块共享传感器的任何接线，否则将造成模块的无法使用或损坏。</w:t>
      </w:r>
    </w:p>
    <w:p>
      <w:pPr>
        <w:numPr>
          <w:ilvl w:val="0"/>
          <w:numId w:val="2"/>
        </w:numPr>
      </w:pPr>
      <w:r>
        <w:rPr>
          <w:rFonts w:hint="eastAsia"/>
        </w:rPr>
        <w:t>传感器的走线要在校准操作前整理好，校准后不可以在大幅度移动或弯折导线，否则可能会带来计量误差。</w:t>
      </w:r>
    </w:p>
    <w:p>
      <w:pPr>
        <w:numPr>
          <w:ilvl w:val="0"/>
          <w:numId w:val="2"/>
        </w:numPr>
      </w:pPr>
      <w:r>
        <w:rPr>
          <w:rFonts w:hint="eastAsia"/>
        </w:rPr>
        <w:t>所有接线应在端子内压紧，防止松动脱落或接触不良导致的系统异常。</w:t>
      </w:r>
    </w:p>
    <w:p>
      <w:pPr>
        <w:numPr>
          <w:ilvl w:val="0"/>
          <w:numId w:val="2"/>
        </w:numPr>
      </w:pPr>
      <w:r>
        <w:rPr>
          <w:rFonts w:hint="eastAsia"/>
        </w:rPr>
        <w:t>模块的激励电压只用于传感器驱动，不可用于驱动其他负载。</w:t>
      </w:r>
      <w:bookmarkStart w:id="30" w:name="OLE_LINK1"/>
    </w:p>
    <w:bookmarkEnd w:id="30"/>
    <w:p>
      <w:pPr>
        <w:pStyle w:val="3"/>
      </w:pPr>
      <w:bookmarkStart w:id="31" w:name="_Toc28488"/>
      <w:bookmarkStart w:id="32" w:name="_Toc14532"/>
      <w:bookmarkStart w:id="33" w:name="_Toc16621"/>
      <w:r>
        <w:rPr>
          <w:rFonts w:hint="eastAsia"/>
        </w:rPr>
        <w:t>3.4传感器接线示意图</w:t>
      </w:r>
      <w:bookmarkEnd w:id="31"/>
      <w:bookmarkEnd w:id="32"/>
      <w:bookmarkEnd w:id="33"/>
    </w:p>
    <w:p>
      <w:pPr>
        <w:ind w:firstLine="420"/>
      </w:pPr>
      <w:r>
        <w:rPr>
          <w:rFonts w:hint="eastAsia"/>
        </w:rPr>
        <w:t>4线制传感器接线</w:t>
      </w:r>
    </w:p>
    <w:p>
      <w:pPr>
        <w:ind w:firstLine="420"/>
      </w:pPr>
      <w:bookmarkStart w:id="34" w:name="OLE_LINK9"/>
      <w:r>
        <w:rPr>
          <w:rFonts w:ascii="宋体" w:hAnsi="宋体" w:eastAsia="宋体" w:cs="宋体"/>
          <w:kern w:val="0"/>
          <w:sz w:val="24"/>
          <w:szCs w:val="24"/>
        </w:rPr>
        <w:fldChar w:fldCharType="begin" w:fldLock="1"/>
      </w:r>
      <w:r>
        <w:rPr>
          <w:rFonts w:ascii="宋体" w:hAnsi="宋体" w:eastAsia="宋体" w:cs="宋体"/>
          <w:kern w:val="0"/>
          <w:sz w:val="24"/>
          <w:szCs w:val="24"/>
        </w:rPr>
        <w:instrText xml:space="preserve">INCLUDEPICTURE \d "D:\\Documents\\Tencent Files\\1092666495\\Image\\C2C\\@F{1IOO%B0)X}GKEYVMFUUK.png" \* MERGEFORMAT </w:instrText>
      </w:r>
      <w:r>
        <w:rPr>
          <w:rFonts w:ascii="宋体" w:hAnsi="宋体" w:eastAsia="宋体" w:cs="宋体"/>
          <w:kern w:val="0"/>
          <w:sz w:val="24"/>
          <w:szCs w:val="24"/>
        </w:rPr>
        <w:fldChar w:fldCharType="separate"/>
      </w:r>
      <w:r>
        <w:rPr>
          <w:rFonts w:ascii="宋体" w:hAnsi="宋体" w:eastAsia="宋体" w:cs="宋体"/>
          <w:kern w:val="0"/>
          <w:sz w:val="24"/>
          <w:szCs w:val="24"/>
        </w:rPr>
        <w:drawing>
          <wp:inline distT="0" distB="0" distL="114300" distR="114300">
            <wp:extent cx="6020435" cy="2125345"/>
            <wp:effectExtent l="0" t="0" r="18415" b="825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8"/>
                    <a:stretch>
                      <a:fillRect/>
                    </a:stretch>
                  </pic:blipFill>
                  <pic:spPr>
                    <a:xfrm>
                      <a:off x="0" y="0"/>
                      <a:ext cx="6020435" cy="2125345"/>
                    </a:xfrm>
                    <a:prstGeom prst="rect">
                      <a:avLst/>
                    </a:prstGeom>
                    <a:noFill/>
                    <a:ln w="9525">
                      <a:noFill/>
                    </a:ln>
                  </pic:spPr>
                </pic:pic>
              </a:graphicData>
            </a:graphic>
          </wp:inline>
        </w:drawing>
      </w:r>
      <w:r>
        <w:rPr>
          <w:rFonts w:ascii="宋体" w:hAnsi="宋体" w:eastAsia="宋体" w:cs="宋体"/>
          <w:kern w:val="0"/>
          <w:sz w:val="24"/>
          <w:szCs w:val="24"/>
        </w:rPr>
        <w:fldChar w:fldCharType="end"/>
      </w:r>
      <w:bookmarkEnd w:id="34"/>
    </w:p>
    <w:p>
      <w:pPr>
        <w:ind w:firstLine="420"/>
      </w:pPr>
      <w:r>
        <w:rPr>
          <w:rFonts w:hint="eastAsia"/>
        </w:rPr>
        <w:t>6线制传感器接线</w:t>
      </w:r>
    </w:p>
    <w:p>
      <w:pPr>
        <w:spacing w:line="360" w:lineRule="auto"/>
      </w:pPr>
      <w:r>
        <w:drawing>
          <wp:inline distT="0" distB="0" distL="114300" distR="114300">
            <wp:extent cx="6008370" cy="2188845"/>
            <wp:effectExtent l="0" t="0" r="11430" b="190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008370" cy="2188845"/>
                    </a:xfrm>
                    <a:prstGeom prst="rect">
                      <a:avLst/>
                    </a:prstGeom>
                    <a:noFill/>
                    <a:ln w="9525">
                      <a:noFill/>
                    </a:ln>
                  </pic:spPr>
                </pic:pic>
              </a:graphicData>
            </a:graphic>
          </wp:inline>
        </w:drawing>
      </w:r>
    </w:p>
    <w:p>
      <w:pPr>
        <w:pStyle w:val="3"/>
      </w:pPr>
      <w:bookmarkStart w:id="35" w:name="_Toc31932"/>
      <w:bookmarkStart w:id="36" w:name="_Toc24830"/>
      <w:bookmarkStart w:id="37" w:name="_Toc7746"/>
      <w:r>
        <w:rPr>
          <w:rFonts w:hint="eastAsia"/>
        </w:rPr>
        <w:t>3.5 RS485接口</w:t>
      </w:r>
      <w:bookmarkEnd w:id="35"/>
      <w:bookmarkEnd w:id="36"/>
      <w:bookmarkEnd w:id="37"/>
    </w:p>
    <w:p>
      <w:pPr>
        <w:ind w:firstLine="420"/>
      </w:pPr>
      <w:r>
        <w:rPr>
          <w:rFonts w:hint="eastAsia"/>
        </w:rPr>
        <w:t>QL-JR485采用的是RS485接口，作为通信通道。该接口最大传输距离为1200米（波特率9600时），同一个总线上可以级联最多32个设备。在短距离调试时，使用普通直连导线连接即可，实际应用时建议485的A，B线采用双绞线，屏蔽使用直连线；距离较长时应使用双绞屏蔽线。485接线示意图如下所示：</w:t>
      </w:r>
    </w:p>
    <w:p>
      <w:pPr>
        <w:ind w:firstLine="420" w:firstLineChars="200"/>
      </w:pPr>
      <w:r>
        <w:rPr>
          <w:rFonts w:hint="eastAsia"/>
        </w:rPr>
        <w:t>○一对一</w:t>
      </w:r>
    </w:p>
    <w:p>
      <w:pPr>
        <w:ind w:firstLine="420" w:firstLineChars="200"/>
      </w:pPr>
      <w:r>
        <w:drawing>
          <wp:inline distT="0" distB="0" distL="114300" distR="114300">
            <wp:extent cx="4848860" cy="1381760"/>
            <wp:effectExtent l="0" t="0" r="8890" b="889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0"/>
                    <a:stretch>
                      <a:fillRect/>
                    </a:stretch>
                  </pic:blipFill>
                  <pic:spPr>
                    <a:xfrm>
                      <a:off x="0" y="0"/>
                      <a:ext cx="4848860" cy="1381760"/>
                    </a:xfrm>
                    <a:prstGeom prst="rect">
                      <a:avLst/>
                    </a:prstGeom>
                    <a:noFill/>
                    <a:ln w="9525">
                      <a:noFill/>
                    </a:ln>
                  </pic:spPr>
                </pic:pic>
              </a:graphicData>
            </a:graphic>
          </wp:inline>
        </w:drawing>
      </w:r>
    </w:p>
    <w:p>
      <w:pPr>
        <w:ind w:firstLine="420" w:firstLineChars="200"/>
      </w:pPr>
      <w:r>
        <w:rPr>
          <w:rFonts w:hint="eastAsia"/>
        </w:rPr>
        <w:t>○一对多</w:t>
      </w:r>
    </w:p>
    <w:p>
      <w:pPr>
        <w:ind w:firstLine="420"/>
      </w:pPr>
      <w:r>
        <w:drawing>
          <wp:inline distT="0" distB="0" distL="114300" distR="114300">
            <wp:extent cx="4603750" cy="4276725"/>
            <wp:effectExtent l="0" t="0" r="6350" b="952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1"/>
                    <a:stretch>
                      <a:fillRect/>
                    </a:stretch>
                  </pic:blipFill>
                  <pic:spPr>
                    <a:xfrm>
                      <a:off x="0" y="0"/>
                      <a:ext cx="4603750" cy="4276725"/>
                    </a:xfrm>
                    <a:prstGeom prst="rect">
                      <a:avLst/>
                    </a:prstGeom>
                    <a:noFill/>
                    <a:ln w="9525">
                      <a:noFill/>
                    </a:ln>
                  </pic:spPr>
                </pic:pic>
              </a:graphicData>
            </a:graphic>
          </wp:inline>
        </w:drawing>
      </w:r>
    </w:p>
    <w:p>
      <w:pPr>
        <w:ind w:firstLine="420"/>
      </w:pPr>
    </w:p>
    <w:p>
      <w:pPr>
        <w:pStyle w:val="3"/>
      </w:pPr>
      <w:bookmarkStart w:id="38" w:name="_Toc5962"/>
      <w:bookmarkStart w:id="39" w:name="_Toc1487"/>
      <w:bookmarkStart w:id="40" w:name="_Toc17942"/>
      <w:r>
        <w:rPr>
          <w:rFonts w:hint="eastAsia"/>
        </w:rPr>
        <w:t>3.6拨码开关与站地址</w:t>
      </w:r>
      <w:bookmarkEnd w:id="38"/>
      <w:bookmarkEnd w:id="39"/>
      <w:bookmarkEnd w:id="40"/>
    </w:p>
    <w:p>
      <w:pPr>
        <w:ind w:firstLine="420"/>
      </w:pPr>
      <w:r>
        <w:rPr>
          <w:rFonts w:hint="eastAsia"/>
        </w:rPr>
        <w:t xml:space="preserve"> QL-JR485模块支持的通信协议Modbus-RTU为主从方式，即每个通信的流程都是由主机（PLC，DCS，计算机）发起的，主机发送的指令中包含被操作模块的站地址，只有指令中的站地址与模块设定的站地址一致时模块才会响应。本模块支持2种方式设置站地址：拨码开关和地址偏移寄存器。模块实际的站地址计算方法如下：</w:t>
      </w:r>
    </w:p>
    <w:p>
      <w:pPr>
        <w:ind w:firstLine="420"/>
        <w:jc w:val="center"/>
        <w:rPr>
          <w:rFonts w:ascii="等线 Light" w:hAnsi="等线 Light" w:eastAsia="等线 Light" w:cs="等线 Light"/>
          <w:b/>
          <w:bCs/>
          <w:color w:val="FF0000"/>
        </w:rPr>
      </w:pPr>
      <w:r>
        <w:rPr>
          <w:rFonts w:hint="eastAsia" w:ascii="等线 Light" w:hAnsi="等线 Light" w:eastAsia="等线 Light" w:cs="等线 Light"/>
          <w:b/>
          <w:bCs/>
          <w:color w:val="FF0000"/>
        </w:rPr>
        <w:t>实际站地址 = 拨码开关值 + 地址偏移寄存器值 + 1</w:t>
      </w:r>
    </w:p>
    <w:p>
      <w:pPr>
        <w:ind w:firstLine="420"/>
      </w:pPr>
      <w:r>
        <w:rPr>
          <w:rFonts w:hint="eastAsia"/>
        </w:rPr>
        <w:t>模块出厂时，默认配置拨码开关和地址偏移寄存器的值为0，所以模块出厂的实际通信站地址为：1.</w:t>
      </w:r>
    </w:p>
    <w:p>
      <w:pPr>
        <w:ind w:firstLine="420"/>
      </w:pPr>
      <w:r>
        <w:rPr>
          <w:rFonts w:hint="eastAsia"/>
        </w:rPr>
        <w:t>模块内置的拨码开关共5位，总共能表示32个地址值，若需要配置更大的地址值时，可通过配置地址偏移寄存器来实现。例如：地址偏移寄存器配置为100，拨码开关值设置为12，则模块实际通信站地址为112.</w:t>
      </w:r>
    </w:p>
    <w:p>
      <w:pPr>
        <w:ind w:firstLine="420"/>
      </w:pPr>
      <w:r>
        <w:rPr>
          <w:rFonts w:hint="eastAsia"/>
        </w:rPr>
        <w:t>由于模块实际的站地址不是单独由拨码开关设定，并且模块本身无界面显示实际站地址，若模块的地址偏移寄存器被错误配置或者忘记上次写入值，则会造成无法得到实际站地址的问题。对此，我们添加了一个广播地址用于解决该问题，广播地址的值为254，即使用该地址与模块通信时无论模块的实际站地址是多少都会响应。如果485总线上挂载多个设备时不可使用该地址进行通信，因为该指令会造成所有模块回复数据，而485总线不允许多个设备同时发送数据，所以此时会造成总线数据冲突，主机无法接收到回复指令。254广播地址的正确的用法是总线上保持只有一个设备。</w:t>
      </w:r>
    </w:p>
    <w:p>
      <w:pPr>
        <w:ind w:firstLine="420"/>
      </w:pPr>
      <w:r>
        <w:rPr>
          <w:rFonts w:hint="eastAsia"/>
        </w:rPr>
        <w:t>拨码开关的定义采用十六进制方法，即1-5开关的值分别代表1,2,4,8,16.拨码开关状态与代表数值得定义如下表：</w:t>
      </w:r>
    </w:p>
    <w:tbl>
      <w:tblPr>
        <w:tblStyle w:val="18"/>
        <w:tblW w:w="80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640"/>
        <w:gridCol w:w="660"/>
        <w:gridCol w:w="650"/>
        <w:gridCol w:w="640"/>
        <w:gridCol w:w="660"/>
        <w:gridCol w:w="240"/>
        <w:gridCol w:w="636"/>
        <w:gridCol w:w="640"/>
        <w:gridCol w:w="660"/>
        <w:gridCol w:w="650"/>
        <w:gridCol w:w="64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1</w:t>
            </w:r>
          </w:p>
        </w:tc>
        <w:tc>
          <w:tcPr>
            <w:tcW w:w="64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2</w:t>
            </w:r>
          </w:p>
        </w:tc>
        <w:tc>
          <w:tcPr>
            <w:tcW w:w="66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3</w:t>
            </w:r>
          </w:p>
        </w:tc>
        <w:tc>
          <w:tcPr>
            <w:tcW w:w="65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4</w:t>
            </w:r>
          </w:p>
        </w:tc>
        <w:tc>
          <w:tcPr>
            <w:tcW w:w="64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5</w:t>
            </w:r>
          </w:p>
        </w:tc>
        <w:tc>
          <w:tcPr>
            <w:tcW w:w="66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值</w:t>
            </w:r>
          </w:p>
        </w:tc>
        <w:tc>
          <w:tcPr>
            <w:tcW w:w="24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p>
        </w:tc>
        <w:tc>
          <w:tcPr>
            <w:tcW w:w="636"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1</w:t>
            </w:r>
          </w:p>
        </w:tc>
        <w:tc>
          <w:tcPr>
            <w:tcW w:w="64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2</w:t>
            </w:r>
          </w:p>
        </w:tc>
        <w:tc>
          <w:tcPr>
            <w:tcW w:w="66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3</w:t>
            </w:r>
          </w:p>
        </w:tc>
        <w:tc>
          <w:tcPr>
            <w:tcW w:w="65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4</w:t>
            </w:r>
          </w:p>
        </w:tc>
        <w:tc>
          <w:tcPr>
            <w:tcW w:w="64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5</w:t>
            </w:r>
          </w:p>
        </w:tc>
        <w:tc>
          <w:tcPr>
            <w:tcW w:w="660" w:type="dxa"/>
            <w:tcBorders>
              <w:top w:val="single" w:color="4F81BD" w:sz="8" w:space="0"/>
              <w:left w:val="single" w:color="4F81BD" w:sz="8" w:space="0"/>
              <w:bottom w:val="single" w:color="FFFFFF" w:sz="12" w:space="0"/>
              <w:right w:val="single" w:color="4F81BD" w:sz="8" w:space="0"/>
            </w:tcBorders>
            <w:shd w:val="clear" w:color="auto" w:fill="4F81BD"/>
          </w:tcPr>
          <w:p>
            <w:pPr>
              <w:jc w:val="center"/>
              <w:rPr>
                <w:color w:val="FFFFFF"/>
              </w:rPr>
            </w:pPr>
            <w:r>
              <w:rPr>
                <w:rFonts w:hint="eastAsia"/>
                <w:color w:val="FFFFFF"/>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0</w:t>
            </w:r>
          </w:p>
        </w:tc>
        <w:tc>
          <w:tcPr>
            <w:tcW w:w="24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FFFFFF" w:sz="12"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3</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4</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5</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6</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7</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8</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9</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10</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11</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12</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13</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14</w:t>
            </w:r>
          </w:p>
        </w:tc>
        <w:tc>
          <w:tcPr>
            <w:tcW w:w="2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OFF</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OFF</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15</w:t>
            </w:r>
          </w:p>
        </w:tc>
        <w:tc>
          <w:tcPr>
            <w:tcW w:w="2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p>
        </w:tc>
        <w:tc>
          <w:tcPr>
            <w:tcW w:w="636"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5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4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ON</w:t>
            </w:r>
          </w:p>
        </w:tc>
        <w:tc>
          <w:tcPr>
            <w:tcW w:w="660" w:type="dxa"/>
            <w:tcBorders>
              <w:top w:val="single" w:color="4F81BD" w:sz="8" w:space="0"/>
              <w:left w:val="single" w:color="4F81BD" w:sz="8" w:space="0"/>
              <w:bottom w:val="single" w:color="4F81BD" w:sz="8" w:space="0"/>
              <w:right w:val="single" w:color="4F81BD" w:sz="8" w:space="0"/>
            </w:tcBorders>
            <w:shd w:val="clear" w:color="auto" w:fill="FFFFFF"/>
          </w:tcPr>
          <w:p>
            <w:pPr>
              <w:jc w:val="center"/>
              <w:rPr>
                <w:color w:val="000000"/>
              </w:rPr>
            </w:pPr>
            <w:r>
              <w:rPr>
                <w:rFonts w:hint="eastAsia"/>
                <w:color w:val="000000"/>
              </w:rPr>
              <w:t>31</w:t>
            </w:r>
          </w:p>
        </w:tc>
      </w:tr>
    </w:tbl>
    <w:p>
      <w:pPr>
        <w:pStyle w:val="3"/>
      </w:pPr>
      <w:bookmarkStart w:id="41" w:name="_Toc9616"/>
      <w:bookmarkStart w:id="42" w:name="_Toc15028"/>
      <w:bookmarkStart w:id="43" w:name="_Toc12335"/>
      <w:r>
        <w:rPr>
          <w:rFonts w:hint="eastAsia"/>
        </w:rPr>
        <w:t>3.7指示灯</w:t>
      </w:r>
      <w:bookmarkEnd w:id="41"/>
      <w:bookmarkEnd w:id="42"/>
      <w:bookmarkEnd w:id="43"/>
    </w:p>
    <w:p>
      <w:pPr>
        <w:ind w:firstLine="420"/>
      </w:pPr>
      <w:r>
        <w:rPr>
          <w:rFonts w:hint="eastAsia"/>
        </w:rPr>
        <w:t>QL-JR485具有两个工作指示灯用于工作状态指示，两个指示灯位于两个接线端子中间，分别为通信指示灯和采集指示灯。两个指示灯均为蓝色，模块上电后两个指示灯默认为点亮状态。两个指示灯的状态定义如下：</w:t>
      </w:r>
    </w:p>
    <w:p>
      <w:pPr>
        <w:ind w:firstLine="420"/>
      </w:pPr>
      <w:r>
        <w:rPr>
          <w:rFonts w:hint="eastAsia"/>
        </w:rPr>
        <w:t>通信指示灯：接收到的指令符合Modbus-RTU协议的格式，并且指令中的站地址与本模块的实际站地址相同时切换一次亮灭状态。（即：亮变灭或灭变亮，若在指示灯熄灭后主机停止发送指令，则会出现通信指示灯常灭的状态）</w:t>
      </w:r>
    </w:p>
    <w:p>
      <w:pPr>
        <w:ind w:firstLine="420"/>
      </w:pPr>
      <w:r>
        <w:rPr>
          <w:rFonts w:hint="eastAsia"/>
        </w:rPr>
        <w:t>采集指示灯：模块信号处理部分正常工作时该指示灯常亮，在恢复出厂设置两个金属孔被短路几秒后闪烁以提醒用户操作成功。</w:t>
      </w:r>
    </w:p>
    <w:p>
      <w:pPr>
        <w:pStyle w:val="3"/>
      </w:pPr>
      <w:bookmarkStart w:id="44" w:name="_Toc6151"/>
      <w:bookmarkStart w:id="45" w:name="_Toc32493"/>
      <w:bookmarkStart w:id="46" w:name="_Toc15978"/>
      <w:r>
        <w:rPr>
          <w:rFonts w:hint="eastAsia"/>
        </w:rPr>
        <w:t>3.8恢复出厂设置</w:t>
      </w:r>
      <w:bookmarkEnd w:id="44"/>
      <w:bookmarkEnd w:id="45"/>
      <w:bookmarkEnd w:id="46"/>
    </w:p>
    <w:p>
      <w:r>
        <w:rPr>
          <w:rFonts w:hint="eastAsia"/>
        </w:rPr>
        <w:t xml:space="preserve">    当模块因为错误的写入参数导致的工作异常时，可以通过恢复出厂设置的操作来恢复模块配置参数到出厂值。该操作会导致校准和所有配置参数均恢复到出厂默认值。</w:t>
      </w:r>
    </w:p>
    <w:p>
      <w:pPr>
        <w:ind w:firstLine="420"/>
      </w:pPr>
      <w:r>
        <w:rPr>
          <w:rFonts w:hint="eastAsia"/>
        </w:rPr>
        <w:t>如下图所示，在模块的拨码开关下方，有两个用于恢复出厂设置的金属孔，在模块供电状态下，使用镊子或者导线等导电物体短路这两个金属孔（或回复出厂设置按钮），大约3-5秒后采集指示灯闪烁，松开短路物体，给模块下电再上电，就完成了恢复出厂设置操作。</w:t>
      </w:r>
    </w:p>
    <w:p>
      <w:pPr>
        <w:ind w:firstLine="420"/>
        <w:jc w:val="center"/>
      </w:pPr>
      <w:r>
        <w:drawing>
          <wp:inline distT="0" distB="0" distL="114300" distR="114300">
            <wp:extent cx="2778125" cy="2015490"/>
            <wp:effectExtent l="0" t="0" r="3175" b="381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2"/>
                    <a:stretch>
                      <a:fillRect/>
                    </a:stretch>
                  </pic:blipFill>
                  <pic:spPr>
                    <a:xfrm>
                      <a:off x="0" y="0"/>
                      <a:ext cx="2778125" cy="2015490"/>
                    </a:xfrm>
                    <a:prstGeom prst="rect">
                      <a:avLst/>
                    </a:prstGeom>
                    <a:noFill/>
                    <a:ln w="9525">
                      <a:noFill/>
                    </a:ln>
                  </pic:spPr>
                </pic:pic>
              </a:graphicData>
            </a:graphic>
          </wp:inline>
        </w:drawing>
      </w:r>
    </w:p>
    <w:p>
      <w:pPr>
        <w:pStyle w:val="2"/>
      </w:pPr>
      <w:bookmarkStart w:id="47" w:name="_Toc17495"/>
      <w:bookmarkStart w:id="48" w:name="_Toc26308"/>
      <w:bookmarkStart w:id="49" w:name="_Toc21865"/>
      <w:r>
        <w:rPr>
          <w:rFonts w:hint="eastAsia"/>
        </w:rPr>
        <w:t>4应用</w:t>
      </w:r>
      <w:bookmarkEnd w:id="47"/>
      <w:bookmarkEnd w:id="48"/>
      <w:bookmarkEnd w:id="49"/>
    </w:p>
    <w:p>
      <w:pPr>
        <w:pStyle w:val="3"/>
      </w:pPr>
      <w:bookmarkStart w:id="50" w:name="_Toc24976"/>
      <w:bookmarkStart w:id="51" w:name="_Toc17205"/>
      <w:bookmarkStart w:id="52" w:name="_Toc3181"/>
      <w:r>
        <w:rPr>
          <w:rFonts w:hint="eastAsia"/>
        </w:rPr>
        <w:t>4.1校准</w:t>
      </w:r>
      <w:bookmarkEnd w:id="50"/>
      <w:bookmarkEnd w:id="51"/>
      <w:bookmarkEnd w:id="52"/>
    </w:p>
    <w:p>
      <w:pPr>
        <w:ind w:firstLine="420"/>
      </w:pPr>
      <w:r>
        <w:rPr>
          <w:rFonts w:hint="eastAsia"/>
        </w:rPr>
        <w:t>QL-JR485模块可以外接多种量程和灵敏度的传感器，而同一型号的传感器在量产时一般也存在百分之几的输出信号误差，故模块无法在出厂时内置一组校准参数来满足所有客户的应用。模块出厂时校准参数为出厂测试时的参数，一般无法在客户的传感器上得到准确的重量数值。因此模块安装完毕后首先需要进行校准操作才可以读取到准确的重量数值。</w:t>
      </w:r>
    </w:p>
    <w:p>
      <w:pPr>
        <w:ind w:firstLine="420"/>
      </w:pPr>
      <w:r>
        <w:rPr>
          <w:rFonts w:hint="eastAsia"/>
        </w:rPr>
        <w:t>称重应用一般要求精度较高，例如千分之几或者万分之一，而称重传感器的输出信号较弱，且量产的称重传感器之间一般都存在输出信号的误差。因此，每个传感器只对应一组校准参数，同一型号的传感器之间替换一般也要重新进行校准操作。并且，最终的校准操作一定要在传感器的机械和电气连接稳定以后进行，以防止机械或者电气的变化引起的精度误差。</w:t>
      </w:r>
    </w:p>
    <w:p>
      <w:pPr>
        <w:ind w:firstLine="420"/>
      </w:pPr>
      <w:r>
        <w:rPr>
          <w:rFonts w:hint="eastAsia"/>
        </w:rPr>
        <w:t>QL-JR485模块支持2点校准法，即零点和砝码点。使用的校准砝码重量应大于传感器总量程的十分之一。校准的操作流程如下：</w:t>
      </w:r>
    </w:p>
    <w:p>
      <w:pPr>
        <w:numPr>
          <w:ilvl w:val="0"/>
          <w:numId w:val="3"/>
        </w:numPr>
        <w:ind w:firstLine="420"/>
      </w:pPr>
      <w:r>
        <w:rPr>
          <w:rFonts w:hint="eastAsia"/>
        </w:rPr>
        <w:t>保持称盘/挂钩负重为0，进行零点校准操作</w:t>
      </w:r>
      <w:bookmarkStart w:id="53" w:name="OLE_LINK2"/>
      <w:r>
        <w:rPr>
          <w:rFonts w:hint="eastAsia"/>
        </w:rPr>
        <w:t>（向操作命令寄存器中写入数字1</w:t>
      </w:r>
      <w:bookmarkEnd w:id="53"/>
      <w:r>
        <w:rPr>
          <w:rFonts w:hint="eastAsia"/>
        </w:rPr>
        <w:t>）</w:t>
      </w:r>
    </w:p>
    <w:p>
      <w:pPr>
        <w:numPr>
          <w:ilvl w:val="0"/>
          <w:numId w:val="3"/>
        </w:numPr>
        <w:ind w:firstLine="420"/>
      </w:pPr>
      <w:r>
        <w:rPr>
          <w:rFonts w:hint="eastAsia"/>
        </w:rPr>
        <w:t>向称盘/挂钩上添加砝码，进行砝码校准操作（向操作命令寄存器中写入数字2）</w:t>
      </w:r>
    </w:p>
    <w:p>
      <w:pPr>
        <w:numPr>
          <w:ilvl w:val="0"/>
          <w:numId w:val="3"/>
        </w:numPr>
        <w:ind w:firstLine="420"/>
      </w:pPr>
      <w:r>
        <w:rPr>
          <w:rFonts w:hint="eastAsia"/>
        </w:rPr>
        <w:t>向的砝码值寄存器中写入砝码对应的显示值（向砝码重量寄存器中写入砝码对应的重量值）</w:t>
      </w:r>
    </w:p>
    <w:p>
      <w:pPr>
        <w:ind w:firstLine="420"/>
      </w:pPr>
      <w:r>
        <w:rPr>
          <w:rFonts w:hint="eastAsia"/>
        </w:rPr>
        <w:t>操作命令寄存器—18号寄存器，砝码重量值寄存器—8号寄存器。（详见寄存器详解章节）</w:t>
      </w:r>
    </w:p>
    <w:p>
      <w:pPr>
        <w:ind w:firstLine="420"/>
      </w:pPr>
      <w:r>
        <w:rPr>
          <w:rFonts w:hint="eastAsia"/>
        </w:rPr>
        <w:t>以上操作若操作错误（如：传感器接线错误、传感器损坏、始终没有放砝码、传感器受力错误、步骤操作错误、砝码值写入错误等），可能会造成实时重量寄存器中显示固定的数字0或者固定的大数或者乱码，这些状态只是模块校准参数错误造成的，并不是模块损坏的现象。排除机械或者电气故障后，通过一个正确的校准流程即可恢复。</w:t>
      </w:r>
    </w:p>
    <w:p>
      <w:pPr>
        <w:ind w:firstLine="420"/>
      </w:pPr>
      <w:r>
        <w:rPr>
          <w:rFonts w:hint="eastAsia"/>
        </w:rPr>
        <w:t>校准流程可以打乱顺序进行，但必须把3个流程执行完，在执行一两个步骤时，实时重量寄存器的显示值可能不是与操作步骤的名称对应的，例如进行零点校准操作后，实时重量寄存器的值可能不为0。但如果校准流程操作正确，三个步骤执行完以后，验证称重精度时就可以发现实时重量显示符合托盘/挂钩负重值。</w:t>
      </w:r>
    </w:p>
    <w:p>
      <w:pPr>
        <w:ind w:firstLine="420"/>
      </w:pPr>
      <w:r>
        <w:rPr>
          <w:rFonts w:hint="eastAsia"/>
        </w:rPr>
        <w:t>校准参数保存于模块内部的存储器中，模块掉电后不丢失，下次上电时自动载入校准参数。一般校准操作只需进行一次，若校准后一段时间发现称重系统不准，请参见去皮（清零）章节。</w:t>
      </w:r>
    </w:p>
    <w:p>
      <w:pPr>
        <w:pStyle w:val="3"/>
      </w:pPr>
      <w:bookmarkStart w:id="54" w:name="_Toc7575"/>
      <w:bookmarkStart w:id="55" w:name="_Toc31323"/>
      <w:bookmarkStart w:id="56" w:name="_Toc20840"/>
      <w:r>
        <w:rPr>
          <w:rFonts w:hint="eastAsia"/>
        </w:rPr>
        <w:t>4.1去皮（清零）</w:t>
      </w:r>
      <w:bookmarkEnd w:id="54"/>
      <w:bookmarkEnd w:id="55"/>
      <w:bookmarkEnd w:id="56"/>
    </w:p>
    <w:p>
      <w:pPr>
        <w:ind w:firstLine="420"/>
      </w:pPr>
      <w:r>
        <w:rPr>
          <w:rFonts w:hint="eastAsia"/>
        </w:rPr>
        <w:t>在称重模块校准后的实际应用中，整个称重系统会因为传感器的温度变化、机械疲劳、老化等原因造成输出信号漂移；包装设备中经常存在的余料残留问题；称重模块因为温度变化、老化等原因也会造成对传感器信号测量的漂移问题；以上这些情况会导致称重系统在使用一段时间后数据漂移问题，漂移的典型现象是：模块校准完毕后，0点与负重显示重量均准确，工作一段时间后，0负重时显示不为0，加载负重后显示也不准确，且0点与负重后的误差值非常接近（例如0点显示-20，负重1000时显示980）。为了解决这个问题，QL-JR485中添加了去皮（清零）功能，</w:t>
      </w:r>
    </w:p>
    <w:p>
      <w:pPr>
        <w:ind w:firstLine="420"/>
      </w:pPr>
      <w:r>
        <w:rPr>
          <w:rFonts w:hint="eastAsia"/>
        </w:rPr>
        <w:t>去皮功能包含2个操作：去皮（清零），取消去皮。</w:t>
      </w:r>
    </w:p>
    <w:p>
      <w:pPr>
        <w:ind w:firstLine="420"/>
      </w:pPr>
      <w:r>
        <w:rPr>
          <w:rFonts w:hint="eastAsia"/>
        </w:rPr>
        <w:t>去皮（清零）：在传感器的托盘/挂钩负重为0时执行，用于消除称重漂移问题。去皮值会保存在模块内部的存储器中，掉电不丢失。实际应用案例如下：</w:t>
      </w:r>
    </w:p>
    <w:p>
      <w:pPr>
        <w:ind w:firstLine="420"/>
      </w:pPr>
      <w:r>
        <w:rPr>
          <w:rFonts w:hint="eastAsia"/>
        </w:rPr>
        <w:t>1.在包装机的应用中，在每次进行下料之前进行该操作，以消除余料残留或者容器重量不均造成的零点不一致问题。</w:t>
      </w:r>
    </w:p>
    <w:p>
      <w:pPr>
        <w:ind w:firstLine="420"/>
      </w:pPr>
      <w:r>
        <w:rPr>
          <w:rFonts w:hint="eastAsia"/>
        </w:rPr>
        <w:t>2.在非频繁称重设备中，在每次开机后执行一次，以消除传感器机械疲劳或者温度变化引起的称重漂移问题。</w:t>
      </w:r>
    </w:p>
    <w:p>
      <w:pPr>
        <w:ind w:firstLine="420"/>
      </w:pPr>
      <w:r>
        <w:rPr>
          <w:rFonts w:hint="eastAsia"/>
        </w:rPr>
        <w:t>3.在净重称量设备中，每次更换新的容器或者去掉容器后，进行一次去皮（清零）操作，以当前负重为0点工作。使得称重模块显示的重量值为净重。</w:t>
      </w:r>
    </w:p>
    <w:p>
      <w:pPr>
        <w:ind w:firstLine="420"/>
      </w:pPr>
      <w:r>
        <w:rPr>
          <w:rFonts w:hint="eastAsia"/>
        </w:rPr>
        <w:t>取消去皮：用于清除模块存储器中的去皮值。若称重系统因为机械改制或更换床安琪等原因导致需要重新校准，并且之前使用过去皮（清零）功能，在进行校准操作之前，必须执行取消去皮操作。</w:t>
      </w:r>
    </w:p>
    <w:p>
      <w:pPr>
        <w:pStyle w:val="3"/>
      </w:pPr>
      <w:bookmarkStart w:id="57" w:name="_Toc11968"/>
      <w:bookmarkStart w:id="58" w:name="_Toc6602"/>
      <w:bookmarkStart w:id="59" w:name="_Toc14348"/>
      <w:r>
        <w:rPr>
          <w:rFonts w:hint="eastAsia"/>
        </w:rPr>
        <w:t>4.2指令时间</w:t>
      </w:r>
      <w:bookmarkEnd w:id="57"/>
      <w:bookmarkEnd w:id="58"/>
      <w:bookmarkEnd w:id="59"/>
    </w:p>
    <w:p>
      <w:pPr>
        <w:ind w:firstLine="420"/>
      </w:pPr>
      <w:r>
        <w:rPr>
          <w:rFonts w:hint="eastAsia"/>
        </w:rPr>
        <w:t>QL-JR485称重模块的通信协议中主要包含两种指令：读取指令和写入指令。其中读取指令在模块中是立即执行的，模块接收到读取指令后立即返回数据。而写入指令是需要执行时间的，大概为0.5秒，故在所有写入指令后若立即执行读取指令可能会失败，主机（PLC，DCS，计算机）在发送写入指令后，应延时0.5秒再发送其他指令。</w:t>
      </w:r>
    </w:p>
    <w:p>
      <w:pPr>
        <w:pStyle w:val="2"/>
      </w:pPr>
      <w:bookmarkStart w:id="60" w:name="_Toc3076"/>
      <w:bookmarkStart w:id="61" w:name="_Toc3193"/>
      <w:bookmarkStart w:id="62" w:name="_Toc18516"/>
      <w:r>
        <w:rPr>
          <w:rFonts w:hint="eastAsia"/>
        </w:rPr>
        <w:t>5通信协议</w:t>
      </w:r>
      <w:bookmarkEnd w:id="60"/>
      <w:bookmarkEnd w:id="61"/>
      <w:bookmarkEnd w:id="62"/>
    </w:p>
    <w:p>
      <w:pPr>
        <w:pStyle w:val="3"/>
      </w:pPr>
      <w:bookmarkStart w:id="63" w:name="_Toc22052"/>
      <w:bookmarkStart w:id="64" w:name="_Toc11503"/>
      <w:bookmarkStart w:id="65" w:name="_Toc23572"/>
      <w:r>
        <w:rPr>
          <w:rFonts w:hint="eastAsia"/>
        </w:rPr>
        <w:t>5.1 Modbus-RTU协议</w:t>
      </w:r>
      <w:bookmarkEnd w:id="63"/>
      <w:bookmarkEnd w:id="64"/>
      <w:bookmarkEnd w:id="65"/>
    </w:p>
    <w:p>
      <w:pPr>
        <w:ind w:firstLine="420"/>
      </w:pPr>
      <w:r>
        <w:rPr>
          <w:rFonts w:hint="eastAsia"/>
        </w:rPr>
        <w:t>QL-JR485支持的通信协议为Modbus-RTU，该协议为主从方式，即每次通信都是由主机（PLC，DCS，计算机）发起，模块接收到指令以后执行对应的操作。在使用主机上的通信接口与模块进行通信之前一般都需要配置主机端口的参数，如：波特率，数据位，停止位，校验位。本模块默认出厂的通信参数为：</w:t>
      </w:r>
    </w:p>
    <w:tbl>
      <w:tblPr>
        <w:tblStyle w:val="19"/>
        <w:tblW w:w="45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142"/>
        <w:gridCol w:w="1073"/>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6" w:type="dxa"/>
            <w:tcBorders>
              <w:top w:val="single" w:color="4F81BD" w:sz="8" w:space="0"/>
              <w:left w:val="single" w:color="4F81BD" w:sz="8" w:space="0"/>
              <w:bottom w:val="single" w:color="FFFFFF" w:sz="4" w:space="0"/>
              <w:right w:val="single" w:color="4F81BD" w:sz="8" w:space="0"/>
            </w:tcBorders>
            <w:shd w:val="clear" w:color="auto" w:fill="4F81BD"/>
          </w:tcPr>
          <w:p>
            <w:pPr>
              <w:jc w:val="center"/>
              <w:rPr>
                <w:color w:val="FFFFFF"/>
              </w:rPr>
            </w:pPr>
            <w:r>
              <w:rPr>
                <w:rFonts w:hint="eastAsia"/>
                <w:color w:val="FFFFFF"/>
              </w:rPr>
              <w:t>波特率</w:t>
            </w:r>
          </w:p>
        </w:tc>
        <w:tc>
          <w:tcPr>
            <w:tcW w:w="1142" w:type="dxa"/>
            <w:tcBorders>
              <w:top w:val="single" w:color="4F81BD" w:sz="8" w:space="0"/>
              <w:left w:val="single" w:color="4F81BD" w:sz="8" w:space="0"/>
              <w:bottom w:val="single" w:color="FFFFFF" w:sz="4" w:space="0"/>
              <w:right w:val="single" w:color="4F81BD" w:sz="8" w:space="0"/>
            </w:tcBorders>
            <w:shd w:val="clear" w:color="auto" w:fill="4F81BD"/>
          </w:tcPr>
          <w:p>
            <w:pPr>
              <w:jc w:val="center"/>
              <w:rPr>
                <w:color w:val="FFFFFF"/>
              </w:rPr>
            </w:pPr>
            <w:r>
              <w:rPr>
                <w:rFonts w:hint="eastAsia"/>
                <w:color w:val="FFFFFF"/>
              </w:rPr>
              <w:t>数据位</w:t>
            </w:r>
          </w:p>
        </w:tc>
        <w:tc>
          <w:tcPr>
            <w:tcW w:w="1073" w:type="dxa"/>
            <w:tcBorders>
              <w:top w:val="single" w:color="4F81BD" w:sz="8" w:space="0"/>
              <w:left w:val="single" w:color="4F81BD" w:sz="8" w:space="0"/>
              <w:bottom w:val="single" w:color="FFFFFF" w:sz="4" w:space="0"/>
              <w:right w:val="single" w:color="4F81BD" w:sz="8" w:space="0"/>
            </w:tcBorders>
            <w:shd w:val="clear" w:color="auto" w:fill="4F81BD"/>
          </w:tcPr>
          <w:p>
            <w:pPr>
              <w:jc w:val="center"/>
              <w:rPr>
                <w:color w:val="FFFFFF"/>
              </w:rPr>
            </w:pPr>
            <w:r>
              <w:rPr>
                <w:rFonts w:hint="eastAsia"/>
                <w:color w:val="FFFFFF"/>
              </w:rPr>
              <w:t>停止位</w:t>
            </w:r>
          </w:p>
        </w:tc>
        <w:tc>
          <w:tcPr>
            <w:tcW w:w="1074" w:type="dxa"/>
            <w:tcBorders>
              <w:top w:val="single" w:color="4F81BD" w:sz="8" w:space="0"/>
              <w:left w:val="single" w:color="4F81BD" w:sz="8" w:space="0"/>
              <w:bottom w:val="single" w:color="FFFFFF" w:sz="4" w:space="0"/>
              <w:right w:val="single" w:color="4F81BD" w:sz="8" w:space="0"/>
            </w:tcBorders>
            <w:shd w:val="clear" w:color="auto" w:fill="4F81BD"/>
          </w:tcPr>
          <w:p>
            <w:pPr>
              <w:jc w:val="center"/>
              <w:rPr>
                <w:color w:val="FFFFFF"/>
              </w:rPr>
            </w:pPr>
            <w:r>
              <w:rPr>
                <w:rFonts w:hint="eastAsia"/>
                <w:color w:val="FFFFFF"/>
              </w:rPr>
              <w:t>校验位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96" w:type="dxa"/>
            <w:tcBorders>
              <w:top w:val="single" w:color="FFFFFF" w:sz="4"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9600</w:t>
            </w:r>
          </w:p>
        </w:tc>
        <w:tc>
          <w:tcPr>
            <w:tcW w:w="1142" w:type="dxa"/>
            <w:tcBorders>
              <w:top w:val="single" w:color="FFFFFF" w:sz="4"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8</w:t>
            </w:r>
          </w:p>
        </w:tc>
        <w:tc>
          <w:tcPr>
            <w:tcW w:w="1073" w:type="dxa"/>
            <w:tcBorders>
              <w:top w:val="single" w:color="FFFFFF" w:sz="4"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1</w:t>
            </w:r>
          </w:p>
        </w:tc>
        <w:tc>
          <w:tcPr>
            <w:tcW w:w="1074" w:type="dxa"/>
            <w:tcBorders>
              <w:top w:val="single" w:color="FFFFFF" w:sz="4"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无校验</w:t>
            </w:r>
          </w:p>
        </w:tc>
      </w:tr>
    </w:tbl>
    <w:p>
      <w:pPr>
        <w:ind w:firstLine="420"/>
      </w:pPr>
    </w:p>
    <w:p>
      <w:pPr>
        <w:ind w:firstLine="420"/>
      </w:pPr>
      <w:r>
        <w:rPr>
          <w:rFonts w:hint="eastAsia"/>
        </w:rPr>
        <w:t>QL-JR485的通信配置参数中只支持波特率的修改，不支持其他参数修改。如需要其他校验方式，需订货前说明。</w:t>
      </w:r>
    </w:p>
    <w:p>
      <w:pPr>
        <w:pStyle w:val="3"/>
      </w:pPr>
      <w:bookmarkStart w:id="66" w:name="_Toc7996"/>
      <w:bookmarkStart w:id="67" w:name="_Toc5614"/>
      <w:bookmarkStart w:id="68" w:name="_Toc24443"/>
      <w:r>
        <w:rPr>
          <w:rFonts w:hint="eastAsia"/>
        </w:rPr>
        <w:t>5.2寄存器详解</w:t>
      </w:r>
      <w:bookmarkEnd w:id="66"/>
      <w:bookmarkEnd w:id="67"/>
      <w:bookmarkEnd w:id="68"/>
    </w:p>
    <w:p>
      <w:pPr>
        <w:ind w:firstLine="420"/>
      </w:pPr>
      <w:r>
        <w:rPr>
          <w:rFonts w:hint="eastAsia"/>
        </w:rPr>
        <w:t>QL-JR485的所有寄存器都位于Modbus协议中的掉电保持寄存器区，寄存器从地址0开始共计30个。每个寄存器中是16位的数字，模块中的部分功能以32位方式表示，例如实时重量值寄存器就是32位有符号表示方法，32位数表示时是使用两个相邻的寄存器合并为组成为一个32位数字，其中地址小的寄存器为32位数字中的低字。在主机编程时应注意高低字的配置，否则会造成读取出来的数字错误。</w:t>
      </w:r>
    </w:p>
    <w:p>
      <w:pPr>
        <w:ind w:firstLine="420"/>
      </w:pPr>
      <w:r>
        <w:rPr>
          <w:rFonts w:hint="eastAsia"/>
        </w:rPr>
        <w:t>所有32位寄存器的读写应按照32位有符号方式进行操作，虽然有些时候以16位方式只读取32位寄存器中的低字显示是正确的，但是这样做在负数、大数字的时候往往会存在显示异常。</w:t>
      </w:r>
    </w:p>
    <w:p>
      <w:pPr>
        <w:ind w:firstLine="420"/>
      </w:pPr>
      <w:r>
        <w:rPr>
          <w:rFonts w:hint="eastAsia"/>
        </w:rPr>
        <w:t>模块的寄存器排布如下表：</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1781"/>
        <w:gridCol w:w="1550"/>
        <w:gridCol w:w="4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FFFFFF" w:sz="12" w:space="0"/>
              <w:right w:val="single" w:color="4F81BD" w:sz="8" w:space="0"/>
            </w:tcBorders>
            <w:shd w:val="clear" w:color="auto" w:fill="4F81BD"/>
            <w:vAlign w:val="center"/>
          </w:tcPr>
          <w:p>
            <w:pPr>
              <w:jc w:val="center"/>
              <w:rPr>
                <w:rFonts w:eastAsia="宋体"/>
                <w:color w:val="FFFFFF"/>
              </w:rPr>
            </w:pPr>
            <w:r>
              <w:rPr>
                <w:rFonts w:hint="eastAsia"/>
                <w:color w:val="FFFFFF"/>
              </w:rPr>
              <w:t>地址</w:t>
            </w:r>
          </w:p>
        </w:tc>
        <w:tc>
          <w:tcPr>
            <w:tcW w:w="1781" w:type="dxa"/>
            <w:tcBorders>
              <w:top w:val="single" w:color="4F81BD" w:sz="8" w:space="0"/>
              <w:left w:val="single" w:color="4F81BD" w:sz="8" w:space="0"/>
              <w:bottom w:val="single" w:color="FFFFFF" w:sz="12" w:space="0"/>
              <w:right w:val="single" w:color="4F81BD" w:sz="8" w:space="0"/>
            </w:tcBorders>
            <w:shd w:val="clear" w:color="auto" w:fill="4F81BD"/>
            <w:vAlign w:val="center"/>
          </w:tcPr>
          <w:p>
            <w:pPr>
              <w:jc w:val="center"/>
              <w:rPr>
                <w:rFonts w:eastAsia="宋体"/>
                <w:color w:val="FFFFFF"/>
              </w:rPr>
            </w:pPr>
            <w:r>
              <w:rPr>
                <w:rFonts w:hint="eastAsia"/>
                <w:color w:val="FFFFFF"/>
              </w:rPr>
              <w:t>寄存器名称</w:t>
            </w:r>
          </w:p>
        </w:tc>
        <w:tc>
          <w:tcPr>
            <w:tcW w:w="1550" w:type="dxa"/>
            <w:tcBorders>
              <w:top w:val="single" w:color="4F81BD" w:sz="8" w:space="0"/>
              <w:left w:val="single" w:color="4F81BD" w:sz="8" w:space="0"/>
              <w:bottom w:val="single" w:color="FFFFFF" w:sz="12" w:space="0"/>
              <w:right w:val="single" w:color="4F81BD" w:sz="8" w:space="0"/>
            </w:tcBorders>
            <w:shd w:val="clear" w:color="auto" w:fill="4F81BD"/>
            <w:vAlign w:val="center"/>
          </w:tcPr>
          <w:p>
            <w:pPr>
              <w:jc w:val="center"/>
              <w:rPr>
                <w:rFonts w:eastAsia="宋体"/>
                <w:color w:val="FFFFFF"/>
              </w:rPr>
            </w:pPr>
            <w:r>
              <w:rPr>
                <w:rFonts w:hint="eastAsia"/>
                <w:color w:val="FFFFFF"/>
              </w:rPr>
              <w:t>有效值类型</w:t>
            </w:r>
          </w:p>
        </w:tc>
        <w:tc>
          <w:tcPr>
            <w:tcW w:w="4136" w:type="dxa"/>
            <w:tcBorders>
              <w:top w:val="single" w:color="4F81BD" w:sz="8" w:space="0"/>
              <w:left w:val="single" w:color="4F81BD" w:sz="8" w:space="0"/>
              <w:bottom w:val="single" w:color="FFFFFF" w:sz="12" w:space="0"/>
              <w:right w:val="single" w:color="4F81BD" w:sz="8" w:space="0"/>
            </w:tcBorders>
            <w:shd w:val="clear" w:color="auto" w:fill="4F81BD"/>
            <w:vAlign w:val="center"/>
          </w:tcPr>
          <w:p>
            <w:pPr>
              <w:jc w:val="center"/>
              <w:rPr>
                <w:rFonts w:eastAsia="宋体"/>
                <w:color w:val="FFFFFF"/>
              </w:rPr>
            </w:pPr>
            <w:r>
              <w:rPr>
                <w:rFonts w:hint="eastAsia"/>
                <w:color w:val="FFFFFF"/>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FFFFFF" w:sz="12"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0</w:t>
            </w:r>
          </w:p>
          <w:p>
            <w:pPr>
              <w:jc w:val="center"/>
              <w:rPr>
                <w:color w:val="000000"/>
              </w:rPr>
            </w:pPr>
            <w:r>
              <w:rPr>
                <w:rFonts w:hint="eastAsia"/>
                <w:color w:val="000000"/>
              </w:rPr>
              <w:t>1</w:t>
            </w:r>
          </w:p>
        </w:tc>
        <w:tc>
          <w:tcPr>
            <w:tcW w:w="1781" w:type="dxa"/>
            <w:tcBorders>
              <w:top w:val="single" w:color="FFFFFF" w:sz="12"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实时重量</w:t>
            </w:r>
          </w:p>
        </w:tc>
        <w:tc>
          <w:tcPr>
            <w:tcW w:w="1550" w:type="dxa"/>
            <w:tcBorders>
              <w:top w:val="single" w:color="FFFFFF" w:sz="12"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有符号32位</w:t>
            </w:r>
          </w:p>
        </w:tc>
        <w:tc>
          <w:tcPr>
            <w:tcW w:w="4136" w:type="dxa"/>
            <w:tcBorders>
              <w:top w:val="single" w:color="FFFFFF" w:sz="12" w:space="0"/>
              <w:left w:val="single" w:color="4F81BD" w:sz="8" w:space="0"/>
              <w:bottom w:val="single" w:color="4F81BD" w:sz="8" w:space="0"/>
              <w:right w:val="single" w:color="4F81BD" w:sz="8" w:space="0"/>
            </w:tcBorders>
            <w:shd w:val="clear" w:color="auto" w:fill="B8CCE4"/>
          </w:tcPr>
          <w:p>
            <w:pPr>
              <w:rPr>
                <w:rFonts w:eastAsia="宋体"/>
                <w:color w:val="000000"/>
              </w:rPr>
            </w:pPr>
            <w:r>
              <w:rPr>
                <w:rFonts w:hint="eastAsia"/>
                <w:color w:val="000000"/>
              </w:rPr>
              <w:t xml:space="preserve">    当前重量值寄存器，两个16位寄存器结合成一个32位有符号整数。现场使用时往往只需要读取该寄存器的值即可。该值不会保存，上电默认值为0.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w:t>
            </w:r>
          </w:p>
          <w:p>
            <w:pPr>
              <w:jc w:val="center"/>
              <w:rPr>
                <w:color w:val="000000"/>
              </w:rPr>
            </w:pPr>
            <w:r>
              <w:rPr>
                <w:rFonts w:hint="eastAsia"/>
                <w:color w:val="000000"/>
              </w:rPr>
              <w:t>3</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eastAsia="宋体"/>
                <w:color w:val="000000"/>
              </w:rPr>
            </w:pPr>
            <w:r>
              <w:rPr>
                <w:rFonts w:hint="eastAsia"/>
                <w:color w:val="000000"/>
              </w:rPr>
              <w:t>内码值</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eastAsia="宋体"/>
                <w:color w:val="000000"/>
              </w:rPr>
            </w:pPr>
            <w:r>
              <w:rPr>
                <w:rFonts w:hint="eastAsia"/>
                <w:color w:val="000000"/>
              </w:rPr>
              <w:t>无符号32位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rFonts w:eastAsia="宋体"/>
                <w:color w:val="000000"/>
              </w:rPr>
            </w:pPr>
            <w:r>
              <w:rPr>
                <w:rFonts w:hint="eastAsia"/>
                <w:color w:val="000000"/>
              </w:rPr>
              <w:t xml:space="preserve">    当前称重模块采集信号对应的内码值，两个16位寄存器结合成一个32位有符号整数。该值不会保存。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4</w:t>
            </w:r>
          </w:p>
          <w:p>
            <w:pPr>
              <w:jc w:val="center"/>
              <w:rPr>
                <w:color w:val="000000"/>
              </w:rPr>
            </w:pPr>
            <w:r>
              <w:rPr>
                <w:rFonts w:hint="eastAsia"/>
                <w:color w:val="000000"/>
              </w:rPr>
              <w:t>5</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零点内码值</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无符号32位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rPr>
                <w:rFonts w:eastAsia="宋体"/>
                <w:color w:val="000000"/>
              </w:rPr>
            </w:pPr>
            <w:r>
              <w:rPr>
                <w:rFonts w:hint="eastAsia"/>
                <w:color w:val="000000"/>
              </w:rPr>
              <w:t xml:space="preserve">    保存着对应输出重量值为0时的内码值，用户可以直接写入内码值，也可以直接在“快速标定寄存器”写1，则模块会自动复制“内码值”寄存器的值到该寄存器。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6</w:t>
            </w:r>
          </w:p>
          <w:p>
            <w:pPr>
              <w:jc w:val="center"/>
              <w:rPr>
                <w:color w:val="000000"/>
              </w:rPr>
            </w:pPr>
            <w:r>
              <w:rPr>
                <w:rFonts w:hint="eastAsia"/>
                <w:color w:val="000000"/>
              </w:rPr>
              <w:t>7</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eastAsia="宋体"/>
                <w:color w:val="000000"/>
              </w:rPr>
            </w:pPr>
            <w:r>
              <w:rPr>
                <w:rFonts w:hint="eastAsia"/>
                <w:color w:val="000000"/>
              </w:rPr>
              <w:t>砝码内码值</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eastAsia="宋体"/>
                <w:color w:val="000000"/>
              </w:rPr>
            </w:pPr>
            <w:r>
              <w:rPr>
                <w:rFonts w:hint="eastAsia"/>
                <w:color w:val="000000"/>
              </w:rPr>
              <w:t>无符号32位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rFonts w:eastAsia="宋体"/>
                <w:color w:val="000000"/>
              </w:rPr>
            </w:pPr>
            <w:r>
              <w:rPr>
                <w:rFonts w:hint="eastAsia"/>
                <w:color w:val="000000"/>
              </w:rPr>
              <w:t xml:space="preserve">    该寄存器的值为：当加载重量为标定重量值时的内码值。用户可以直接写入内码值，也可以在“快速标定寄存器”写2，则模块会自动复制“内码值”寄存器的值到该寄存器。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8</w:t>
            </w:r>
          </w:p>
          <w:p>
            <w:pPr>
              <w:jc w:val="center"/>
              <w:rPr>
                <w:color w:val="000000"/>
              </w:rPr>
            </w:pPr>
            <w:r>
              <w:rPr>
                <w:rFonts w:hint="eastAsia"/>
                <w:color w:val="000000"/>
              </w:rPr>
              <w:t>9</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砝码重量值</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eastAsia="宋体"/>
                <w:color w:val="000000"/>
              </w:rPr>
            </w:pPr>
            <w:r>
              <w:rPr>
                <w:rFonts w:hint="eastAsia"/>
                <w:color w:val="000000"/>
              </w:rPr>
              <w:t>有符号32位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rPr>
                <w:rFonts w:eastAsia="宋体"/>
                <w:color w:val="000000"/>
              </w:rPr>
            </w:pPr>
            <w:r>
              <w:rPr>
                <w:rFonts w:hint="eastAsia"/>
                <w:color w:val="000000"/>
              </w:rPr>
              <w:t xml:space="preserve">    该寄存器的值表示校准砝码的重量，由于模块“重量值”寄存器不带小数点输出，所以当标定值实际为100.00时填入的值应该为10000，用户设备读取到重量值后自己添加小数点。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10</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站地址偏移</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color w:val="000000"/>
              </w:rPr>
            </w:pPr>
            <w:r>
              <w:rPr>
                <w:rFonts w:hint="eastAsia"/>
                <w:color w:val="000000"/>
              </w:rPr>
              <w:t xml:space="preserve">   出厂默认值为0，当拨码开关的0-32地址不够使用或者需要设置的站地址超过32时，在该寄存器写入偏移值。</w:t>
            </w:r>
          </w:p>
          <w:p>
            <w:pPr>
              <w:rPr>
                <w:color w:val="000000"/>
              </w:rPr>
            </w:pPr>
            <w:r>
              <w:rPr>
                <w:rFonts w:hint="eastAsia"/>
                <w:color w:val="000000"/>
              </w:rPr>
              <w:t xml:space="preserve"> 实际站地址 = 拨码开关 + 站地址偏移值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11</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波特率</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下次重启时的波特率值，该寄存器只允许写入一下数值：</w:t>
            </w:r>
          </w:p>
          <w:p>
            <w:pPr>
              <w:ind w:firstLine="420" w:firstLineChars="200"/>
              <w:rPr>
                <w:color w:val="000000"/>
              </w:rPr>
            </w:pPr>
            <w:r>
              <w:rPr>
                <w:rFonts w:hint="eastAsia"/>
                <w:color w:val="000000"/>
              </w:rPr>
              <w:t>2400、4800、9600、19200、38400</w:t>
            </w:r>
          </w:p>
          <w:p>
            <w:pPr>
              <w:ind w:firstLine="420" w:firstLineChars="200"/>
              <w:rPr>
                <w:color w:val="000000"/>
              </w:rPr>
            </w:pPr>
            <w:r>
              <w:rPr>
                <w:rFonts w:hint="eastAsia"/>
                <w:color w:val="000000"/>
              </w:rPr>
              <w:t>当写入其他值时模块会自动赋值为9600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12</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滤波长度</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color w:val="000000"/>
              </w:rPr>
            </w:pPr>
            <w:r>
              <w:rPr>
                <w:rFonts w:hint="eastAsia"/>
                <w:color w:val="000000"/>
              </w:rPr>
              <w:t xml:space="preserve">   参数范围为1-30，表示平均值滤波次数，同样采样速度下，滤波长度值越大，则输出重量跟随越慢、但精度越高、抖动越小。</w:t>
            </w:r>
          </w:p>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13</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保留</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rPr>
                <w:color w:val="000000"/>
              </w:rPr>
            </w:pPr>
            <w:r>
              <w:rPr>
                <w:rFonts w:hint="eastAsia"/>
                <w:color w:val="000000"/>
              </w:rPr>
              <w:t xml:space="preserve">    内部保留寄存器，后期拓展应用可能会用到。请不要往该寄存器写入任何数值。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14</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分度值</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color w:val="000000"/>
              </w:rPr>
            </w:pPr>
            <w:r>
              <w:rPr>
                <w:rFonts w:hint="eastAsia"/>
                <w:color w:val="000000"/>
              </w:rPr>
              <w:t xml:space="preserve">    分度值用于限制重量值输出寄存器的输出数字最小跳动值。当该寄存器设置为2时输出重量只会是偶数，当该寄存器设置为5时则重量值寄存器只会输出5的倍数重量值。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15</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追零次数</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rPr>
                <w:color w:val="000000"/>
              </w:rPr>
            </w:pPr>
            <w:r>
              <w:rPr>
                <w:rFonts w:hint="eastAsia"/>
                <w:color w:val="000000"/>
              </w:rPr>
              <w:t xml:space="preserve">    该寄存器为输入信号寄存器，掉电不保存。当模块开启了开机置零或动态追零的功能后，每次追零成功后该寄存器的值会加1，该寄存器可用于测试追零参数时观察实际追零成功的次数。每次开机后清零。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16</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采集速度</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rPr>
                <w:color w:val="000000"/>
              </w:rPr>
            </w:pPr>
            <w:r>
              <w:rPr>
                <w:rFonts w:hint="eastAsia"/>
                <w:color w:val="000000"/>
              </w:rPr>
              <w:t xml:space="preserve">   用于配置模块的采集速度，模块的采集速度模式只有两种。当该寄存器的值为0时模块的采集速度为12Hz，当该寄存器的值不为0时，模块的采集速度为50Hz。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17</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去皮操作</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jc w:val="center"/>
              <w:rPr>
                <w:color w:val="000000"/>
              </w:rPr>
            </w:pPr>
            <w:r>
              <w:rPr>
                <w:rFonts w:hint="eastAsia"/>
                <w:color w:val="000000"/>
              </w:rPr>
              <w:t xml:space="preserve">   向该寄存器写入1实现手动追零，写入2实现追零值清零。该寄存器为命令寄存器，写入的数字会转化成模块内部的动作执行。写入后模块执行动作并自动清零，故无法查询到该寄存器的写入值。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18</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校准操作</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ind w:firstLine="420" w:firstLineChars="200"/>
              <w:rPr>
                <w:color w:val="000000"/>
              </w:rPr>
            </w:pPr>
            <w:r>
              <w:rPr>
                <w:rFonts w:hint="eastAsia"/>
                <w:color w:val="000000"/>
              </w:rPr>
              <w:t>用于实现快速的标定操作。</w:t>
            </w:r>
          </w:p>
          <w:p>
            <w:pPr>
              <w:ind w:firstLine="420" w:firstLineChars="200"/>
              <w:rPr>
                <w:color w:val="000000"/>
              </w:rPr>
            </w:pPr>
            <w:r>
              <w:rPr>
                <w:rFonts w:hint="eastAsia"/>
                <w:color w:val="000000"/>
              </w:rPr>
              <w:t>写入1：模块内部把“内码值”寄存器的值写入到“零点内码值”寄存器。</w:t>
            </w:r>
          </w:p>
          <w:p>
            <w:pPr>
              <w:ind w:firstLine="420" w:firstLineChars="200"/>
              <w:rPr>
                <w:color w:val="000000"/>
              </w:rPr>
            </w:pPr>
            <w:r>
              <w:rPr>
                <w:rFonts w:hint="eastAsia"/>
                <w:color w:val="000000"/>
              </w:rPr>
              <w:t>写入2：模块内部把“内码值”寄存器的值写入到“砝码内码值”寄存器</w:t>
            </w:r>
          </w:p>
          <w:p>
            <w:pPr>
              <w:ind w:firstLine="420" w:firstLineChars="200"/>
              <w:rPr>
                <w:color w:val="000000"/>
              </w:rPr>
            </w:pPr>
            <w:r>
              <w:rPr>
                <w:rFonts w:hint="eastAsia"/>
                <w:color w:val="000000"/>
              </w:rPr>
              <w:t>该寄存器与去皮操作寄存器是命令寄存器，写入的值转换为模块的动作执行，模块执行成功后将自动清零，无需主机发送清零指令。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19</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恢复出厂</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写入恢复出厂设置的密码：12345，执行恢复出厂设置命令。模块会把所有寄存器的值回复到出厂默认值。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20</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追零使能</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ind w:firstLine="420" w:firstLineChars="200"/>
              <w:rPr>
                <w:color w:val="000000"/>
              </w:rPr>
            </w:pPr>
            <w:r>
              <w:rPr>
                <w:rFonts w:hint="eastAsia"/>
                <w:color w:val="000000"/>
              </w:rPr>
              <w:t>0：关闭开机置零和动态追零功能</w:t>
            </w:r>
          </w:p>
          <w:p>
            <w:pPr>
              <w:ind w:firstLine="420" w:firstLineChars="200"/>
              <w:rPr>
                <w:color w:val="000000"/>
              </w:rPr>
            </w:pPr>
            <w:r>
              <w:rPr>
                <w:rFonts w:hint="eastAsia"/>
                <w:color w:val="000000"/>
              </w:rPr>
              <w:t>1：只开启开机置零功能，关闭动态追零功能。</w:t>
            </w:r>
          </w:p>
          <w:p>
            <w:pPr>
              <w:ind w:firstLine="420" w:firstLineChars="200"/>
              <w:rPr>
                <w:color w:val="000000"/>
              </w:rPr>
            </w:pPr>
            <w:r>
              <w:rPr>
                <w:rFonts w:hint="eastAsia"/>
                <w:color w:val="000000"/>
              </w:rPr>
              <w:t>2：只开启动态追零功能，关闭开机置零功能。</w:t>
            </w:r>
          </w:p>
          <w:p>
            <w:pPr>
              <w:ind w:firstLine="420" w:firstLineChars="200"/>
              <w:rPr>
                <w:color w:val="000000"/>
              </w:rPr>
            </w:pPr>
            <w:r>
              <w:rPr>
                <w:rFonts w:hint="eastAsia"/>
                <w:color w:val="000000"/>
              </w:rPr>
              <w:t>3：同时开启开机置零和动态追零功能。开机置零执行完毕后自动执行动态追零的功能。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21</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开机置零</w:t>
            </w:r>
          </w:p>
          <w:p>
            <w:pPr>
              <w:jc w:val="center"/>
              <w:rPr>
                <w:color w:val="000000"/>
              </w:rPr>
            </w:pPr>
            <w:r>
              <w:rPr>
                <w:rFonts w:hint="eastAsia"/>
                <w:color w:val="000000"/>
              </w:rPr>
              <w:t>静止范围</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该参数为开机置零功能中的静止判定范围，当多次重量值的正负误差小于该值时，模块判定为静止状态。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22</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动态追零</w:t>
            </w:r>
          </w:p>
          <w:p>
            <w:pPr>
              <w:jc w:val="center"/>
              <w:rPr>
                <w:color w:val="000000"/>
              </w:rPr>
            </w:pPr>
            <w:r>
              <w:rPr>
                <w:rFonts w:hint="eastAsia"/>
                <w:color w:val="000000"/>
              </w:rPr>
              <w:t>静止范围</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ind w:firstLine="420" w:firstLineChars="200"/>
              <w:rPr>
                <w:color w:val="000000"/>
              </w:rPr>
            </w:pPr>
            <w:r>
              <w:rPr>
                <w:rFonts w:hint="eastAsia"/>
                <w:color w:val="000000"/>
              </w:rPr>
              <w:t>该参数为动态追零功能中的静止状态判定范围，当多次重量值的正负误差小于该值时，模块判定为静止状态。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23</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开机置零</w:t>
            </w:r>
          </w:p>
          <w:p>
            <w:pPr>
              <w:jc w:val="center"/>
              <w:rPr>
                <w:color w:val="000000"/>
              </w:rPr>
            </w:pPr>
            <w:r>
              <w:rPr>
                <w:rFonts w:hint="eastAsia"/>
                <w:color w:val="000000"/>
              </w:rPr>
              <w:t>置零范围</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开机置零允许的最大置零偏差值，当置零值+当前重量值大于该寄存器的值时，模块不进行置零功能。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24</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动态追零</w:t>
            </w:r>
          </w:p>
          <w:p>
            <w:pPr>
              <w:jc w:val="center"/>
              <w:rPr>
                <w:color w:val="000000"/>
              </w:rPr>
            </w:pPr>
            <w:r>
              <w:rPr>
                <w:rFonts w:hint="eastAsia"/>
                <w:color w:val="000000"/>
              </w:rPr>
              <w:t>追零范围</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ind w:firstLine="420" w:firstLineChars="200"/>
              <w:rPr>
                <w:color w:val="000000"/>
              </w:rPr>
            </w:pPr>
            <w:r>
              <w:rPr>
                <w:rFonts w:hint="eastAsia"/>
                <w:color w:val="000000"/>
              </w:rPr>
              <w:t>开机置零允许的最大追零偏差值，当置零值+当前重量值大于该寄存器的值时，模块不进行追零功能。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25</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开机置零</w:t>
            </w:r>
          </w:p>
          <w:p>
            <w:pPr>
              <w:jc w:val="center"/>
              <w:rPr>
                <w:color w:val="000000"/>
              </w:rPr>
            </w:pPr>
            <w:r>
              <w:rPr>
                <w:rFonts w:hint="eastAsia"/>
                <w:color w:val="000000"/>
              </w:rPr>
              <w:t>静止次数（时间）</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该寄存器值的单位并非固定时间，而是根据采集速度而定。假设该寄存器的值为10时，可以如此理解：当10次重量值抖动小于开机指令静止范围寄存器的值时，判定为传感器静止有效。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26</w:t>
            </w:r>
          </w:p>
        </w:tc>
        <w:tc>
          <w:tcPr>
            <w:tcW w:w="178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动态追零</w:t>
            </w:r>
          </w:p>
          <w:p>
            <w:pPr>
              <w:jc w:val="center"/>
              <w:rPr>
                <w:color w:val="000000"/>
              </w:rPr>
            </w:pPr>
            <w:r>
              <w:rPr>
                <w:rFonts w:hint="eastAsia"/>
                <w:color w:val="000000"/>
              </w:rPr>
              <w:t>静止次数（时间）</w:t>
            </w:r>
          </w:p>
        </w:tc>
        <w:tc>
          <w:tcPr>
            <w:tcW w:w="1550"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FFFFFF"/>
          </w:tcPr>
          <w:p>
            <w:pPr>
              <w:ind w:firstLine="420" w:firstLineChars="200"/>
              <w:rPr>
                <w:color w:val="000000"/>
              </w:rPr>
            </w:pPr>
            <w:r>
              <w:rPr>
                <w:rFonts w:hint="eastAsia"/>
                <w:color w:val="000000"/>
              </w:rPr>
              <w:t>该寄存器值的单位并非固定时间，而是根据采集速度而定。假设该寄存器的值为10时，可以如此理解：当10次重量值抖动小于动态追零静止范围寄存器的值时，判定为传感器静止有效。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5"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27</w:t>
            </w:r>
          </w:p>
        </w:tc>
        <w:tc>
          <w:tcPr>
            <w:tcW w:w="1781"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卡尔曼滤波使能</w:t>
            </w:r>
          </w:p>
        </w:tc>
        <w:tc>
          <w:tcPr>
            <w:tcW w:w="1550"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bottom w:val="single" w:color="4F81BD" w:sz="8" w:space="0"/>
              <w:right w:val="single" w:color="4F81BD" w:sz="8" w:space="0"/>
            </w:tcBorders>
            <w:shd w:val="clear" w:color="auto" w:fill="B8CCE4"/>
          </w:tcPr>
          <w:p>
            <w:pPr>
              <w:ind w:firstLine="420" w:firstLineChars="200"/>
              <w:rPr>
                <w:color w:val="000000"/>
              </w:rPr>
            </w:pPr>
            <w:r>
              <w:rPr>
                <w:rFonts w:hint="eastAsia"/>
                <w:color w:val="000000"/>
              </w:rPr>
              <w:t>0：禁止卡尔曼滤波功能</w:t>
            </w:r>
          </w:p>
          <w:p>
            <w:pPr>
              <w:ind w:firstLine="420" w:firstLineChars="200"/>
              <w:rPr>
                <w:color w:val="000000"/>
              </w:rPr>
            </w:pPr>
            <w:r>
              <w:rPr>
                <w:rFonts w:hint="eastAsia"/>
                <w:color w:val="000000"/>
              </w:rPr>
              <w:t>1：使能卡尔曼滤波功能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055"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color w:val="000000"/>
              </w:rPr>
            </w:pPr>
            <w:r>
              <w:rPr>
                <w:rFonts w:hint="eastAsia"/>
                <w:color w:val="000000"/>
              </w:rPr>
              <w:t>28</w:t>
            </w:r>
          </w:p>
          <w:p>
            <w:pPr>
              <w:jc w:val="center"/>
              <w:rPr>
                <w:color w:val="000000"/>
              </w:rPr>
            </w:pPr>
            <w:r>
              <w:rPr>
                <w:rFonts w:hint="eastAsia"/>
                <w:color w:val="000000"/>
              </w:rPr>
              <w:t>29</w:t>
            </w:r>
          </w:p>
        </w:tc>
        <w:tc>
          <w:tcPr>
            <w:tcW w:w="1781" w:type="dxa"/>
            <w:tcBorders>
              <w:top w:val="single" w:color="4F81BD" w:sz="8" w:space="0"/>
              <w:left w:val="single" w:color="4F81BD" w:sz="8" w:space="0"/>
              <w:right w:val="single" w:color="4F81BD" w:sz="8" w:space="0"/>
            </w:tcBorders>
            <w:shd w:val="clear" w:color="auto" w:fill="FFFFFF"/>
            <w:vAlign w:val="center"/>
          </w:tcPr>
          <w:p>
            <w:pPr>
              <w:jc w:val="center"/>
              <w:rPr>
                <w:color w:val="000000"/>
              </w:rPr>
            </w:pPr>
            <w:r>
              <w:rPr>
                <w:rFonts w:hint="eastAsia"/>
                <w:color w:val="000000"/>
              </w:rPr>
              <w:t>去皮值</w:t>
            </w:r>
          </w:p>
        </w:tc>
        <w:tc>
          <w:tcPr>
            <w:tcW w:w="1550" w:type="dxa"/>
            <w:tcBorders>
              <w:top w:val="single" w:color="4F81BD" w:sz="8" w:space="0"/>
              <w:left w:val="single" w:color="4F81BD" w:sz="8" w:space="0"/>
              <w:right w:val="single" w:color="4F81BD" w:sz="8" w:space="0"/>
            </w:tcBorders>
            <w:shd w:val="clear" w:color="auto" w:fill="FFFFFF"/>
            <w:vAlign w:val="center"/>
          </w:tcPr>
          <w:p>
            <w:pPr>
              <w:jc w:val="center"/>
              <w:rPr>
                <w:color w:val="000000"/>
              </w:rPr>
            </w:pPr>
            <w:r>
              <w:rPr>
                <w:rFonts w:hint="eastAsia"/>
                <w:color w:val="000000"/>
              </w:rPr>
              <w:t>无符号16位</w:t>
            </w:r>
          </w:p>
        </w:tc>
        <w:tc>
          <w:tcPr>
            <w:tcW w:w="4136" w:type="dxa"/>
            <w:tcBorders>
              <w:top w:val="single" w:color="4F81BD" w:sz="8" w:space="0"/>
              <w:left w:val="single" w:color="4F81BD" w:sz="8" w:space="0"/>
              <w:right w:val="single" w:color="4F81BD" w:sz="8" w:space="0"/>
            </w:tcBorders>
            <w:shd w:val="clear" w:color="auto" w:fill="FFFFFF"/>
          </w:tcPr>
          <w:p>
            <w:pPr>
              <w:ind w:firstLine="420" w:firstLineChars="200"/>
              <w:rPr>
                <w:color w:val="000000"/>
              </w:rPr>
            </w:pPr>
            <w:r>
              <w:rPr>
                <w:rFonts w:hint="eastAsia"/>
                <w:color w:val="000000"/>
              </w:rPr>
              <w:t>去皮及自动置零操作保存的去皮值</w:t>
            </w:r>
          </w:p>
        </w:tc>
      </w:tr>
    </w:tbl>
    <w:p>
      <w:pPr>
        <w:pStyle w:val="3"/>
      </w:pPr>
      <w:bookmarkStart w:id="69" w:name="_Toc13312"/>
      <w:bookmarkStart w:id="70" w:name="_Toc14948"/>
      <w:bookmarkStart w:id="71" w:name="_Toc2970"/>
      <w:r>
        <w:rPr>
          <w:rFonts w:hint="eastAsia"/>
        </w:rPr>
        <w:t>5.4指令举例</w:t>
      </w:r>
      <w:bookmarkEnd w:id="69"/>
      <w:bookmarkEnd w:id="70"/>
      <w:bookmarkEnd w:id="71"/>
    </w:p>
    <w:p>
      <w:pPr>
        <w:ind w:firstLine="420"/>
        <w:rPr>
          <w:rFonts w:ascii="黑体" w:hAnsi="黑体" w:eastAsia="黑体" w:cs="黑体"/>
          <w:b/>
          <w:bCs/>
          <w:sz w:val="24"/>
          <w:szCs w:val="24"/>
        </w:rPr>
      </w:pPr>
      <w:r>
        <w:rPr>
          <w:rFonts w:hint="eastAsia" w:ascii="黑体" w:hAnsi="黑体" w:eastAsia="黑体" w:cs="黑体"/>
          <w:b/>
          <w:bCs/>
          <w:sz w:val="24"/>
          <w:szCs w:val="24"/>
        </w:rPr>
        <w:t>读取重量</w:t>
      </w:r>
    </w:p>
    <w:p>
      <w:r>
        <w:rPr>
          <w:rFonts w:hint="eastAsia"/>
        </w:rPr>
        <w:t xml:space="preserve">    读取当前重量值：01 03 00 00 00 02 C4 0B</w:t>
      </w:r>
    </w:p>
    <w:p>
      <w:pPr>
        <w:ind w:firstLine="420" w:firstLineChars="200"/>
      </w:pPr>
      <w:r>
        <w:rPr>
          <w:rFonts w:hint="eastAsia"/>
        </w:rPr>
        <w:t>解析：</w:t>
      </w:r>
    </w:p>
    <w:p>
      <w:pPr>
        <w:ind w:firstLine="420" w:firstLineChars="200"/>
      </w:pPr>
      <w:r>
        <w:rPr>
          <w:rFonts w:hint="eastAsia"/>
        </w:rPr>
        <w:t>01：模块站地址</w:t>
      </w:r>
    </w:p>
    <w:p>
      <w:pPr>
        <w:ind w:firstLine="420" w:firstLineChars="200"/>
      </w:pPr>
      <w:r>
        <w:rPr>
          <w:rFonts w:hint="eastAsia"/>
        </w:rPr>
        <w:t>03：读取保持寄存器</w:t>
      </w:r>
    </w:p>
    <w:p>
      <w:pPr>
        <w:ind w:firstLine="420" w:firstLineChars="200"/>
      </w:pPr>
      <w:r>
        <w:rPr>
          <w:rFonts w:hint="eastAsia"/>
        </w:rPr>
        <w:t>00 00：从保持寄存器0地址开始读取</w:t>
      </w:r>
    </w:p>
    <w:p>
      <w:pPr>
        <w:ind w:firstLine="420" w:firstLineChars="200"/>
      </w:pPr>
      <w:r>
        <w:rPr>
          <w:rFonts w:hint="eastAsia"/>
        </w:rPr>
        <w:t>00 02：读取2个寄存器的值</w:t>
      </w:r>
    </w:p>
    <w:p>
      <w:pPr>
        <w:ind w:firstLine="420" w:firstLineChars="200"/>
      </w:pPr>
      <w:r>
        <w:rPr>
          <w:rFonts w:hint="eastAsia"/>
        </w:rPr>
        <w:t>C4 0B：CRC16校验和</w:t>
      </w:r>
    </w:p>
    <w:p>
      <w:pPr>
        <w:ind w:firstLine="420" w:firstLineChars="200"/>
      </w:pPr>
    </w:p>
    <w:p>
      <w:r>
        <w:rPr>
          <w:rFonts w:hint="eastAsia"/>
        </w:rPr>
        <w:t xml:space="preserve">    读取当前重量值回复：01 03 04 04 D2 00 00 5B 3A </w:t>
      </w:r>
    </w:p>
    <w:p>
      <w:pPr>
        <w:ind w:firstLine="420" w:firstLineChars="200"/>
      </w:pPr>
      <w:r>
        <w:rPr>
          <w:rFonts w:hint="eastAsia"/>
        </w:rPr>
        <w:t>解析：</w:t>
      </w:r>
    </w:p>
    <w:p>
      <w:pPr>
        <w:ind w:firstLine="420" w:firstLineChars="200"/>
      </w:pPr>
      <w:r>
        <w:rPr>
          <w:rFonts w:hint="eastAsia"/>
        </w:rPr>
        <w:t>01：模块站地址</w:t>
      </w:r>
    </w:p>
    <w:p>
      <w:pPr>
        <w:ind w:firstLine="420" w:firstLineChars="200"/>
      </w:pPr>
      <w:r>
        <w:rPr>
          <w:rFonts w:hint="eastAsia"/>
        </w:rPr>
        <w:t>03：读保持寄存器回复</w:t>
      </w:r>
    </w:p>
    <w:p>
      <w:pPr>
        <w:ind w:firstLine="420" w:firstLineChars="200"/>
      </w:pPr>
      <w:r>
        <w:rPr>
          <w:rFonts w:hint="eastAsia"/>
        </w:rPr>
        <w:t>04：有效数据长度4个字节</w:t>
      </w:r>
    </w:p>
    <w:p>
      <w:pPr>
        <w:ind w:firstLine="420" w:firstLineChars="200"/>
      </w:pPr>
      <w:r>
        <w:rPr>
          <w:rFonts w:hint="eastAsia"/>
        </w:rPr>
        <w:t>04 D2：第一个寄存器的值</w:t>
      </w:r>
    </w:p>
    <w:p>
      <w:pPr>
        <w:ind w:firstLine="420" w:firstLineChars="200"/>
      </w:pPr>
      <w:r>
        <w:rPr>
          <w:rFonts w:hint="eastAsia"/>
        </w:rPr>
        <w:t>00 00：第二个寄存器的值</w:t>
      </w:r>
    </w:p>
    <w:p>
      <w:pPr>
        <w:ind w:firstLine="420" w:firstLineChars="200"/>
        <w:rPr>
          <w:rFonts w:ascii="黑体" w:hAnsi="黑体" w:eastAsia="黑体" w:cs="黑体"/>
          <w:b/>
          <w:bCs/>
          <w:sz w:val="24"/>
          <w:szCs w:val="24"/>
        </w:rPr>
      </w:pPr>
      <w:r>
        <w:rPr>
          <w:rFonts w:hint="eastAsia"/>
        </w:rPr>
        <w:t>5B 3A：CRC16校验和</w:t>
      </w:r>
    </w:p>
    <w:p>
      <w:pPr>
        <w:ind w:firstLine="420"/>
        <w:rPr>
          <w:rFonts w:ascii="黑体" w:hAnsi="黑体" w:eastAsia="黑体" w:cs="黑体"/>
          <w:b/>
          <w:bCs/>
          <w:sz w:val="24"/>
          <w:szCs w:val="24"/>
        </w:rPr>
      </w:pPr>
    </w:p>
    <w:p>
      <w:pPr>
        <w:ind w:firstLine="420"/>
        <w:rPr>
          <w:rFonts w:ascii="黑体" w:hAnsi="黑体" w:eastAsia="黑体" w:cs="黑体"/>
          <w:b/>
          <w:bCs/>
          <w:sz w:val="24"/>
          <w:szCs w:val="24"/>
        </w:rPr>
      </w:pPr>
      <w:r>
        <w:rPr>
          <w:rFonts w:hint="eastAsia" w:ascii="黑体" w:hAnsi="黑体" w:eastAsia="黑体" w:cs="黑体"/>
          <w:b/>
          <w:bCs/>
          <w:sz w:val="24"/>
          <w:szCs w:val="24"/>
        </w:rPr>
        <w:t>校准操作</w:t>
      </w:r>
    </w:p>
    <w:p>
      <w:pPr>
        <w:ind w:firstLine="420"/>
      </w:pPr>
      <w:r>
        <w:rPr>
          <w:rFonts w:hint="eastAsia"/>
        </w:rPr>
        <w:t>校准操作和去皮操作均是向寄存器写入数据的操作，根据Modbus协议所有写入指令的回复指令与写入指令相同，例如主机发送的零点校准指令：01 06 00 12 00 01 E8 0F，模块接收成功后返回的指令为：01 06 00 12 00 01 E8 0F。</w:t>
      </w:r>
    </w:p>
    <w:p>
      <w:pPr>
        <w:ind w:firstLine="420"/>
      </w:pPr>
    </w:p>
    <w:p>
      <w:pPr>
        <w:numPr>
          <w:ilvl w:val="0"/>
          <w:numId w:val="4"/>
        </w:numPr>
        <w:ind w:firstLine="420" w:firstLineChars="200"/>
      </w:pPr>
      <w:r>
        <w:rPr>
          <w:rFonts w:hint="eastAsia"/>
        </w:rPr>
        <w:t>载重为0时向校准操作寄存器写入1：                01 06 00 12 00 01 E8 0F</w:t>
      </w:r>
    </w:p>
    <w:p>
      <w:pPr>
        <w:ind w:firstLine="420"/>
      </w:pPr>
      <w:r>
        <w:rPr>
          <w:rFonts w:hint="eastAsia"/>
        </w:rPr>
        <w:t>详解：</w:t>
      </w:r>
    </w:p>
    <w:p>
      <w:pPr>
        <w:ind w:firstLine="420"/>
      </w:pPr>
      <w:r>
        <w:rPr>
          <w:rFonts w:hint="eastAsia"/>
        </w:rPr>
        <w:t>01：被操作模块的站地址</w:t>
      </w:r>
    </w:p>
    <w:p>
      <w:pPr>
        <w:ind w:firstLine="420"/>
      </w:pPr>
      <w:r>
        <w:rPr>
          <w:rFonts w:hint="eastAsia"/>
        </w:rPr>
        <w:t>06：单寄存器写入指令</w:t>
      </w:r>
    </w:p>
    <w:p>
      <w:pPr>
        <w:ind w:firstLine="420"/>
      </w:pPr>
      <w:r>
        <w:rPr>
          <w:rFonts w:hint="eastAsia"/>
        </w:rPr>
        <w:t>00 12：写入寄存器地址，十六进制0x12，转换为十进制值为18.</w:t>
      </w:r>
    </w:p>
    <w:p>
      <w:pPr>
        <w:ind w:firstLine="420"/>
      </w:pPr>
      <w:r>
        <w:rPr>
          <w:rFonts w:hint="eastAsia"/>
        </w:rPr>
        <w:t>00 01：写入数值 1</w:t>
      </w:r>
    </w:p>
    <w:p>
      <w:pPr>
        <w:ind w:firstLine="420"/>
      </w:pPr>
      <w:r>
        <w:rPr>
          <w:rFonts w:hint="eastAsia"/>
        </w:rPr>
        <w:t>E8 0F：Modbus CRC校验值</w:t>
      </w:r>
    </w:p>
    <w:p>
      <w:pPr>
        <w:ind w:firstLine="420"/>
      </w:pPr>
    </w:p>
    <w:p>
      <w:pPr>
        <w:numPr>
          <w:ilvl w:val="0"/>
          <w:numId w:val="4"/>
        </w:numPr>
        <w:ind w:firstLine="420" w:firstLineChars="200"/>
      </w:pPr>
      <w:r>
        <w:rPr>
          <w:rFonts w:hint="eastAsia"/>
        </w:rPr>
        <w:t xml:space="preserve">载重为已知重量时向校准操作寄存器写入2：          01 06 00 12 00 02 A8 0E </w:t>
      </w:r>
    </w:p>
    <w:p>
      <w:pPr>
        <w:ind w:firstLine="420"/>
      </w:pPr>
      <w:r>
        <w:rPr>
          <w:rFonts w:hint="eastAsia"/>
        </w:rPr>
        <w:t>详解：</w:t>
      </w:r>
    </w:p>
    <w:p>
      <w:pPr>
        <w:ind w:firstLine="420"/>
      </w:pPr>
      <w:r>
        <w:rPr>
          <w:rFonts w:hint="eastAsia"/>
        </w:rPr>
        <w:t>01：被操作模块的站地址</w:t>
      </w:r>
    </w:p>
    <w:p>
      <w:pPr>
        <w:ind w:firstLine="420"/>
      </w:pPr>
      <w:r>
        <w:rPr>
          <w:rFonts w:hint="eastAsia"/>
        </w:rPr>
        <w:t>06：单寄存器写入指令</w:t>
      </w:r>
    </w:p>
    <w:p>
      <w:pPr>
        <w:ind w:firstLine="420"/>
      </w:pPr>
      <w:r>
        <w:rPr>
          <w:rFonts w:hint="eastAsia"/>
        </w:rPr>
        <w:t>00 12：写入寄存器地址，十六进制0x12，转换为十进制值为18.</w:t>
      </w:r>
    </w:p>
    <w:p>
      <w:pPr>
        <w:ind w:firstLine="420"/>
      </w:pPr>
      <w:r>
        <w:rPr>
          <w:rFonts w:hint="eastAsia"/>
        </w:rPr>
        <w:t>00 02：写入数值 2</w:t>
      </w:r>
    </w:p>
    <w:p>
      <w:pPr>
        <w:ind w:firstLine="420"/>
      </w:pPr>
      <w:r>
        <w:rPr>
          <w:rFonts w:hint="eastAsia"/>
        </w:rPr>
        <w:t>A8 0E：Modbus CRC校验值</w:t>
      </w:r>
    </w:p>
    <w:p/>
    <w:p>
      <w:pPr>
        <w:ind w:firstLine="420"/>
      </w:pPr>
      <w:r>
        <w:rPr>
          <w:rFonts w:hint="eastAsia"/>
        </w:rPr>
        <w:t>3.向砝码重量值寄存器写入砝码的重量（例如10000）：</w:t>
      </w:r>
    </w:p>
    <w:p>
      <w:pPr>
        <w:ind w:firstLine="420"/>
      </w:pPr>
      <w:r>
        <w:rPr>
          <w:rFonts w:hint="eastAsia"/>
        </w:rPr>
        <w:t xml:space="preserve">                                       01 10 00 08 00 02 04 27 10 00 00 F9 78 </w:t>
      </w:r>
    </w:p>
    <w:p>
      <w:pPr>
        <w:ind w:firstLine="420" w:firstLineChars="200"/>
      </w:pPr>
    </w:p>
    <w:p>
      <w:pPr>
        <w:ind w:firstLine="420"/>
      </w:pPr>
      <w:r>
        <w:rPr>
          <w:rFonts w:hint="eastAsia"/>
        </w:rPr>
        <w:t>详解：</w:t>
      </w:r>
    </w:p>
    <w:p>
      <w:pPr>
        <w:ind w:firstLine="420"/>
      </w:pPr>
      <w:r>
        <w:rPr>
          <w:rFonts w:hint="eastAsia"/>
        </w:rPr>
        <w:t>01：被操作模块的站地址</w:t>
      </w:r>
    </w:p>
    <w:p>
      <w:pPr>
        <w:ind w:firstLine="420"/>
      </w:pPr>
      <w:r>
        <w:rPr>
          <w:rFonts w:hint="eastAsia"/>
        </w:rPr>
        <w:t>10：多寄存器写入指令</w:t>
      </w:r>
    </w:p>
    <w:p>
      <w:pPr>
        <w:ind w:firstLine="420"/>
      </w:pPr>
      <w:r>
        <w:rPr>
          <w:rFonts w:hint="eastAsia"/>
        </w:rPr>
        <w:t>00 08：写入寄存器起始地址</w:t>
      </w:r>
    </w:p>
    <w:p>
      <w:pPr>
        <w:ind w:firstLine="420"/>
      </w:pPr>
      <w:r>
        <w:rPr>
          <w:rFonts w:hint="eastAsia"/>
        </w:rPr>
        <w:t>00 02：写入寄存器数量</w:t>
      </w:r>
    </w:p>
    <w:p>
      <w:pPr>
        <w:ind w:firstLine="420"/>
      </w:pPr>
      <w:r>
        <w:rPr>
          <w:rFonts w:hint="eastAsia"/>
        </w:rPr>
        <w:t>04：写入数据字节数量</w:t>
      </w:r>
    </w:p>
    <w:p>
      <w:pPr>
        <w:ind w:firstLine="420"/>
      </w:pPr>
      <w:r>
        <w:rPr>
          <w:rFonts w:hint="eastAsia"/>
        </w:rPr>
        <w:t>27 10 00 00：32位写入数字，27 10写入第一个寄存器，00 00写入第二个寄存器，交换高低字再转换为十进制数为10000</w:t>
      </w:r>
    </w:p>
    <w:p>
      <w:pPr>
        <w:ind w:firstLine="420"/>
      </w:pPr>
      <w:r>
        <w:rPr>
          <w:rFonts w:hint="eastAsia"/>
        </w:rPr>
        <w:t>F9 78：Modbus CRC校验值</w:t>
      </w:r>
    </w:p>
    <w:p>
      <w:pPr>
        <w:ind w:firstLine="420"/>
      </w:pPr>
    </w:p>
    <w:p>
      <w:pPr>
        <w:numPr>
          <w:ilvl w:val="0"/>
          <w:numId w:val="5"/>
        </w:numPr>
      </w:pPr>
      <w:r>
        <w:rPr>
          <w:rFonts w:hint="eastAsia"/>
        </w:rPr>
        <w:t>以上举例的指令中，Modbus CRC校验值是根据前面所有字节的数值计算而来，所以指令中任何数值修改均需要重新计算Modbus CRC校验值。</w:t>
      </w:r>
    </w:p>
    <w:p>
      <w:pPr>
        <w:numPr>
          <w:ilvl w:val="0"/>
          <w:numId w:val="5"/>
        </w:numPr>
      </w:pPr>
      <w:r>
        <w:rPr>
          <w:rFonts w:hint="eastAsia"/>
        </w:rPr>
        <w:t>砝码重量不可填写带有小数点的数字，若用户需要使用小数位，例如砝码重量为12.34kg，用户希望显示到小数点后2位，在砝码重量寄存器写入1234。校准完毕以后，负重12.34kg时，实时重量寄存器的数字就显示为1234，用户读取数字后除100后显示就是12.34.</w:t>
      </w:r>
    </w:p>
    <w:p/>
    <w:p>
      <w:pPr>
        <w:rPr>
          <w:rFonts w:ascii="黑体" w:hAnsi="黑体" w:eastAsia="黑体" w:cs="黑体"/>
          <w:b/>
          <w:bCs/>
          <w:sz w:val="24"/>
          <w:szCs w:val="24"/>
        </w:rPr>
      </w:pPr>
      <w:r>
        <w:rPr>
          <w:rFonts w:hint="eastAsia" w:ascii="黑体" w:hAnsi="黑体" w:eastAsia="黑体" w:cs="黑体"/>
          <w:b/>
          <w:bCs/>
          <w:sz w:val="24"/>
          <w:szCs w:val="24"/>
        </w:rPr>
        <w:t>去皮操作</w:t>
      </w:r>
    </w:p>
    <w:p>
      <w:pPr>
        <w:numPr>
          <w:ilvl w:val="0"/>
          <w:numId w:val="6"/>
        </w:numPr>
      </w:pPr>
      <w:r>
        <w:rPr>
          <w:rFonts w:hint="eastAsia"/>
        </w:rPr>
        <w:t>去皮（清零），向去皮操作寄存器写入数字1：01 06 00 11 00 01 18 0F</w:t>
      </w:r>
    </w:p>
    <w:p>
      <w:pPr>
        <w:numPr>
          <w:ilvl w:val="0"/>
          <w:numId w:val="6"/>
        </w:numPr>
      </w:pPr>
      <w:r>
        <w:rPr>
          <w:rFonts w:hint="eastAsia"/>
        </w:rPr>
        <w:t>取消去皮，向去皮操作寄存器写入数字2：01 06 00 11 00 02 58 0E</w:t>
      </w:r>
    </w:p>
    <w:p>
      <w:pPr>
        <w:numPr>
          <w:ilvl w:val="0"/>
          <w:numId w:val="7"/>
        </w:numPr>
      </w:pPr>
      <w:r>
        <w:rPr>
          <w:rFonts w:hint="eastAsia"/>
        </w:rPr>
        <w:t>去皮指令的指令结构与校准操作类似，请参考校准部分的指令详解。</w:t>
      </w:r>
    </w:p>
    <w:p>
      <w:pPr>
        <w:pStyle w:val="2"/>
      </w:pPr>
      <w:bookmarkStart w:id="72" w:name="_Toc2609"/>
      <w:r>
        <w:rPr>
          <w:rFonts w:hint="eastAsia"/>
        </w:rPr>
        <w:t>6安装尺寸</w:t>
      </w:r>
      <w:bookmarkEnd w:id="72"/>
    </w:p>
    <w:p>
      <w:pPr>
        <w:pStyle w:val="3"/>
      </w:pPr>
      <w:bookmarkStart w:id="73" w:name="_Toc31891"/>
      <w:r>
        <w:rPr>
          <w:rFonts w:hint="eastAsia"/>
        </w:rPr>
        <w:t>6.1外壳机械尺寸</w:t>
      </w:r>
      <w:bookmarkEnd w:id="73"/>
    </w:p>
    <w:p>
      <w:r>
        <w:drawing>
          <wp:inline distT="0" distB="0" distL="0" distR="0">
            <wp:extent cx="5273040" cy="3681730"/>
            <wp:effectExtent l="0" t="0" r="1016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73040" cy="3681984"/>
                    </a:xfrm>
                    <a:prstGeom prst="rect">
                      <a:avLst/>
                    </a:prstGeom>
                  </pic:spPr>
                </pic:pic>
              </a:graphicData>
            </a:graphic>
          </wp:inline>
        </w:drawing>
      </w:r>
    </w:p>
    <w:p>
      <w:pPr>
        <w:ind w:firstLine="420"/>
      </w:pPr>
    </w:p>
    <w:p>
      <w:pPr>
        <w:spacing w:line="360" w:lineRule="auto"/>
        <w:rPr>
          <w:rFonts w:hint="eastAsia"/>
          <w:sz w:val="24"/>
          <w:szCs w:val="24"/>
        </w:rPr>
      </w:pPr>
    </w:p>
    <w:p>
      <w:pPr>
        <w:spacing w:line="360" w:lineRule="auto"/>
        <w:jc w:val="center"/>
        <w:rPr>
          <w:sz w:val="24"/>
          <w:szCs w:val="24"/>
        </w:rPr>
      </w:pPr>
    </w:p>
    <w:p>
      <w:pPr>
        <w:spacing w:line="360" w:lineRule="auto"/>
        <w:jc w:val="center"/>
        <w:rPr>
          <w:sz w:val="24"/>
          <w:szCs w:val="24"/>
        </w:rPr>
      </w:pPr>
    </w:p>
    <w:p>
      <w:pPr>
        <w:spacing w:line="360" w:lineRule="auto"/>
        <w:jc w:val="center"/>
        <w:rPr>
          <w:sz w:val="24"/>
          <w:szCs w:val="24"/>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Light">
    <w:altName w:val="宋体"/>
    <w:panose1 w:val="00000000000000000000"/>
    <w:charset w:val="86"/>
    <w:family w:val="script"/>
    <w:pitch w:val="default"/>
    <w:sig w:usb0="00000000" w:usb1="00000000" w:usb2="00000016" w:usb3="00000000" w:csb0="0004000F" w:csb1="00000000"/>
  </w:font>
  <w:font w:name="Kozuka Gothic Pr6N L">
    <w:altName w:val="MS Mincho"/>
    <w:panose1 w:val="00000000000000000000"/>
    <w:charset w:val="80"/>
    <w:family w:val="auto"/>
    <w:pitch w:val="default"/>
    <w:sig w:usb0="00000000" w:usb1="00000000" w:usb2="00000012" w:usb3="00000000" w:csb0="2002009F"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6055" cy="14605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6055" cy="146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- 6 -</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5pt;width:14.65pt;mso-position-horizontal:center;mso-position-horizontal-relative:margin;mso-wrap-style:none;z-index:251658240;mso-width-relative:page;mso-height-relative:page;" filled="f" stroked="f" coordsize="21600,21600" o:gfxdata="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e6U+nRAAAAAwEAAA8AAAAAAAAAAQAgAAAAIgAA&#10;AGRycy9kb3ducmV2LnhtbFBLAQIUABQAAAAIAIdO4kCFcFzJDwIAAAUEAAAOAAAAAAAAAAEAIAAA&#10;ACABAABkcnMvZTJvRG9jLnhtbFBLBQYAAAAABgAGAFkBAACh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- 6 -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left"/>
      <w:rPr>
        <w:rFonts w:ascii="Kozuka Gothic Pr6N L" w:hAnsi="Kozuka Gothic Pr6N L" w:eastAsia="Kozuka Gothic Pr6N L" w:cs="Kozuka Gothic Pr6N L"/>
        <w:b/>
        <w:bCs/>
        <w:sz w:val="30"/>
        <w:szCs w:val="30"/>
      </w:rPr>
    </w:pPr>
    <w:r>
      <w:rPr>
        <w:rFonts w:hint="eastAsia"/>
      </w:rPr>
      <w:t xml:space="preserve">                            </w:t>
    </w:r>
    <w:r>
      <w:rPr>
        <w:rFonts w:hint="eastAsia" w:ascii="等线 Light" w:hAnsi="等线 Light" w:eastAsia="等线 Light" w:cs="等线 Light"/>
        <w:b/>
        <w:bCs/>
        <w:sz w:val="28"/>
        <w:szCs w:val="28"/>
      </w:rPr>
      <w:t>QL-JR485使用说明书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3A3DC"/>
    <w:multiLevelType w:val="singleLevel"/>
    <w:tmpl w:val="58E3A3DC"/>
    <w:lvl w:ilvl="0" w:tentative="0">
      <w:start w:val="1"/>
      <w:numFmt w:val="decimal"/>
      <w:suff w:val="nothing"/>
      <w:lvlText w:val="%1."/>
      <w:lvlJc w:val="left"/>
    </w:lvl>
  </w:abstractNum>
  <w:abstractNum w:abstractNumId="1">
    <w:nsid w:val="592ADD5D"/>
    <w:multiLevelType w:val="singleLevel"/>
    <w:tmpl w:val="592ADD5D"/>
    <w:lvl w:ilvl="0" w:tentative="0">
      <w:start w:val="1"/>
      <w:numFmt w:val="bullet"/>
      <w:lvlText w:val=""/>
      <w:lvlJc w:val="left"/>
      <w:pPr>
        <w:ind w:left="420" w:hanging="420"/>
      </w:pPr>
      <w:rPr>
        <w:rFonts w:hint="default" w:ascii="Wingdings" w:hAnsi="Wingdings"/>
      </w:rPr>
    </w:lvl>
  </w:abstractNum>
  <w:abstractNum w:abstractNumId="2">
    <w:nsid w:val="592AF949"/>
    <w:multiLevelType w:val="singleLevel"/>
    <w:tmpl w:val="592AF949"/>
    <w:lvl w:ilvl="0" w:tentative="0">
      <w:start w:val="1"/>
      <w:numFmt w:val="decimal"/>
      <w:suff w:val="nothing"/>
      <w:lvlText w:val="%1."/>
      <w:lvlJc w:val="left"/>
    </w:lvl>
  </w:abstractNum>
  <w:abstractNum w:abstractNumId="3">
    <w:nsid w:val="592C2B68"/>
    <w:multiLevelType w:val="singleLevel"/>
    <w:tmpl w:val="592C2B68"/>
    <w:lvl w:ilvl="0" w:tentative="0">
      <w:start w:val="1"/>
      <w:numFmt w:val="decimal"/>
      <w:suff w:val="nothing"/>
      <w:lvlText w:val="%1."/>
      <w:lvlJc w:val="left"/>
    </w:lvl>
  </w:abstractNum>
  <w:abstractNum w:abstractNumId="4">
    <w:nsid w:val="592C2C94"/>
    <w:multiLevelType w:val="singleLevel"/>
    <w:tmpl w:val="592C2C94"/>
    <w:lvl w:ilvl="0" w:tentative="0">
      <w:start w:val="1"/>
      <w:numFmt w:val="bullet"/>
      <w:lvlText w:val=""/>
      <w:lvlJc w:val="left"/>
      <w:pPr>
        <w:ind w:left="420" w:hanging="420"/>
      </w:pPr>
      <w:rPr>
        <w:rFonts w:hint="default" w:ascii="Wingdings" w:hAnsi="Wingdings"/>
      </w:rPr>
    </w:lvl>
  </w:abstractNum>
  <w:abstractNum w:abstractNumId="5">
    <w:nsid w:val="592C3508"/>
    <w:multiLevelType w:val="singleLevel"/>
    <w:tmpl w:val="592C3508"/>
    <w:lvl w:ilvl="0" w:tentative="0">
      <w:start w:val="1"/>
      <w:numFmt w:val="decimal"/>
      <w:suff w:val="nothing"/>
      <w:lvlText w:val="%1."/>
      <w:lvlJc w:val="left"/>
    </w:lvl>
  </w:abstractNum>
  <w:abstractNum w:abstractNumId="6">
    <w:nsid w:val="592C3555"/>
    <w:multiLevelType w:val="singleLevel"/>
    <w:tmpl w:val="592C3555"/>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F"/>
    <w:rsid w:val="001C311F"/>
    <w:rsid w:val="002B1EF2"/>
    <w:rsid w:val="00326FA7"/>
    <w:rsid w:val="00673742"/>
    <w:rsid w:val="00720A27"/>
    <w:rsid w:val="009F48E3"/>
    <w:rsid w:val="00CE273C"/>
    <w:rsid w:val="00EC18E1"/>
    <w:rsid w:val="01063E0A"/>
    <w:rsid w:val="02682EB9"/>
    <w:rsid w:val="02DF2447"/>
    <w:rsid w:val="03477AC7"/>
    <w:rsid w:val="035119C3"/>
    <w:rsid w:val="03795DF6"/>
    <w:rsid w:val="04174F17"/>
    <w:rsid w:val="04567B53"/>
    <w:rsid w:val="05010E4F"/>
    <w:rsid w:val="052C6DF3"/>
    <w:rsid w:val="053F76AB"/>
    <w:rsid w:val="057028C5"/>
    <w:rsid w:val="068052D5"/>
    <w:rsid w:val="076A04F8"/>
    <w:rsid w:val="08185906"/>
    <w:rsid w:val="08554013"/>
    <w:rsid w:val="08E96F14"/>
    <w:rsid w:val="09725E4A"/>
    <w:rsid w:val="0980764F"/>
    <w:rsid w:val="09DA34F8"/>
    <w:rsid w:val="09DC6762"/>
    <w:rsid w:val="0ACA5645"/>
    <w:rsid w:val="0AE61144"/>
    <w:rsid w:val="0B1D7DC1"/>
    <w:rsid w:val="0B452B23"/>
    <w:rsid w:val="0D7B33FF"/>
    <w:rsid w:val="0DB05ECD"/>
    <w:rsid w:val="0DE54B45"/>
    <w:rsid w:val="0E0C766A"/>
    <w:rsid w:val="0E8F7399"/>
    <w:rsid w:val="0EC121F2"/>
    <w:rsid w:val="0ED52512"/>
    <w:rsid w:val="0F420973"/>
    <w:rsid w:val="0F6B146F"/>
    <w:rsid w:val="0F9155D5"/>
    <w:rsid w:val="0FD118A5"/>
    <w:rsid w:val="106032B8"/>
    <w:rsid w:val="1069670B"/>
    <w:rsid w:val="10895E2C"/>
    <w:rsid w:val="1156066B"/>
    <w:rsid w:val="1158608B"/>
    <w:rsid w:val="11683ECC"/>
    <w:rsid w:val="117507BB"/>
    <w:rsid w:val="11A93E48"/>
    <w:rsid w:val="11CA3618"/>
    <w:rsid w:val="11E50B1F"/>
    <w:rsid w:val="12B61627"/>
    <w:rsid w:val="13180C3B"/>
    <w:rsid w:val="13416596"/>
    <w:rsid w:val="14424028"/>
    <w:rsid w:val="14AD02F7"/>
    <w:rsid w:val="15152B73"/>
    <w:rsid w:val="15764B5B"/>
    <w:rsid w:val="167D458C"/>
    <w:rsid w:val="168C3FD2"/>
    <w:rsid w:val="17A67B02"/>
    <w:rsid w:val="17FE11A3"/>
    <w:rsid w:val="182C66C0"/>
    <w:rsid w:val="194E2E67"/>
    <w:rsid w:val="1A2C5A4A"/>
    <w:rsid w:val="1ADF1998"/>
    <w:rsid w:val="1C536492"/>
    <w:rsid w:val="1C612D1C"/>
    <w:rsid w:val="1C651509"/>
    <w:rsid w:val="1CA53E02"/>
    <w:rsid w:val="1CEE6E89"/>
    <w:rsid w:val="1D3C3E35"/>
    <w:rsid w:val="1D6843E3"/>
    <w:rsid w:val="1D6B3961"/>
    <w:rsid w:val="1D6E2AD8"/>
    <w:rsid w:val="1D7674E0"/>
    <w:rsid w:val="1E604BD0"/>
    <w:rsid w:val="1E885B1D"/>
    <w:rsid w:val="1ED12583"/>
    <w:rsid w:val="1EF67DCB"/>
    <w:rsid w:val="1FD010BD"/>
    <w:rsid w:val="205F158C"/>
    <w:rsid w:val="20CD5AB5"/>
    <w:rsid w:val="20EA1AAE"/>
    <w:rsid w:val="21237BEB"/>
    <w:rsid w:val="21324B06"/>
    <w:rsid w:val="21361664"/>
    <w:rsid w:val="22673370"/>
    <w:rsid w:val="22AD4FBB"/>
    <w:rsid w:val="22F4532D"/>
    <w:rsid w:val="230F4432"/>
    <w:rsid w:val="23FE2F8B"/>
    <w:rsid w:val="244D6E59"/>
    <w:rsid w:val="247C4167"/>
    <w:rsid w:val="24867DE8"/>
    <w:rsid w:val="24D04167"/>
    <w:rsid w:val="24F812D8"/>
    <w:rsid w:val="2523365B"/>
    <w:rsid w:val="255617AB"/>
    <w:rsid w:val="25C57F70"/>
    <w:rsid w:val="25EA7F96"/>
    <w:rsid w:val="264272A8"/>
    <w:rsid w:val="266120F9"/>
    <w:rsid w:val="26903ED8"/>
    <w:rsid w:val="26B9156D"/>
    <w:rsid w:val="27207CB6"/>
    <w:rsid w:val="275A640D"/>
    <w:rsid w:val="27EE4231"/>
    <w:rsid w:val="28214A1D"/>
    <w:rsid w:val="289F04A7"/>
    <w:rsid w:val="28C23625"/>
    <w:rsid w:val="28DC1286"/>
    <w:rsid w:val="28EA3396"/>
    <w:rsid w:val="29346D55"/>
    <w:rsid w:val="2AB45F81"/>
    <w:rsid w:val="2B26409B"/>
    <w:rsid w:val="2C1238FD"/>
    <w:rsid w:val="2C315E22"/>
    <w:rsid w:val="2C7938CD"/>
    <w:rsid w:val="2CC956FD"/>
    <w:rsid w:val="2D3E42A1"/>
    <w:rsid w:val="2D3F0D44"/>
    <w:rsid w:val="2DAA77AB"/>
    <w:rsid w:val="2EEB58FB"/>
    <w:rsid w:val="2F1C7B5B"/>
    <w:rsid w:val="2F3F1A7B"/>
    <w:rsid w:val="2F756F2C"/>
    <w:rsid w:val="2FF667AC"/>
    <w:rsid w:val="30586F5C"/>
    <w:rsid w:val="30B25C63"/>
    <w:rsid w:val="31B93804"/>
    <w:rsid w:val="3250148B"/>
    <w:rsid w:val="32AB4535"/>
    <w:rsid w:val="32D2392A"/>
    <w:rsid w:val="33746875"/>
    <w:rsid w:val="33806989"/>
    <w:rsid w:val="338243D0"/>
    <w:rsid w:val="33A645E3"/>
    <w:rsid w:val="33C64006"/>
    <w:rsid w:val="347456E1"/>
    <w:rsid w:val="34BE60FC"/>
    <w:rsid w:val="34EF045B"/>
    <w:rsid w:val="35646629"/>
    <w:rsid w:val="357E2005"/>
    <w:rsid w:val="36492D89"/>
    <w:rsid w:val="3681211C"/>
    <w:rsid w:val="36AC439B"/>
    <w:rsid w:val="36C52118"/>
    <w:rsid w:val="36C94490"/>
    <w:rsid w:val="374A7DE5"/>
    <w:rsid w:val="379C355A"/>
    <w:rsid w:val="37FE6374"/>
    <w:rsid w:val="38537543"/>
    <w:rsid w:val="388E58A6"/>
    <w:rsid w:val="38EE37E7"/>
    <w:rsid w:val="3A070FBE"/>
    <w:rsid w:val="3A0822B3"/>
    <w:rsid w:val="3A627F87"/>
    <w:rsid w:val="3AD36C01"/>
    <w:rsid w:val="3B0F5F3A"/>
    <w:rsid w:val="3B4B2ADE"/>
    <w:rsid w:val="3C70018C"/>
    <w:rsid w:val="3D330301"/>
    <w:rsid w:val="3DA33465"/>
    <w:rsid w:val="3E3E7229"/>
    <w:rsid w:val="3E9A65B1"/>
    <w:rsid w:val="3EDF4AFF"/>
    <w:rsid w:val="408429AF"/>
    <w:rsid w:val="40E14B1A"/>
    <w:rsid w:val="4102664D"/>
    <w:rsid w:val="413E1DFA"/>
    <w:rsid w:val="41833F8B"/>
    <w:rsid w:val="418A7354"/>
    <w:rsid w:val="423C3223"/>
    <w:rsid w:val="42961AFA"/>
    <w:rsid w:val="42A828FF"/>
    <w:rsid w:val="43021C8F"/>
    <w:rsid w:val="43413858"/>
    <w:rsid w:val="435834EA"/>
    <w:rsid w:val="43774846"/>
    <w:rsid w:val="440013C4"/>
    <w:rsid w:val="44CC4447"/>
    <w:rsid w:val="454C471A"/>
    <w:rsid w:val="45840EEC"/>
    <w:rsid w:val="45A707DB"/>
    <w:rsid w:val="45B92EA9"/>
    <w:rsid w:val="45F61356"/>
    <w:rsid w:val="46CA2F17"/>
    <w:rsid w:val="470620EA"/>
    <w:rsid w:val="483755CE"/>
    <w:rsid w:val="48627D2A"/>
    <w:rsid w:val="494D7D24"/>
    <w:rsid w:val="49853FA3"/>
    <w:rsid w:val="4AB12584"/>
    <w:rsid w:val="4ABC13C6"/>
    <w:rsid w:val="4B165199"/>
    <w:rsid w:val="4B2A315A"/>
    <w:rsid w:val="4B6B2CE5"/>
    <w:rsid w:val="4BC72810"/>
    <w:rsid w:val="4BE10024"/>
    <w:rsid w:val="4BE95DF0"/>
    <w:rsid w:val="4C634174"/>
    <w:rsid w:val="4C9167C2"/>
    <w:rsid w:val="4D1801E4"/>
    <w:rsid w:val="4D3C3BB4"/>
    <w:rsid w:val="4D7C5737"/>
    <w:rsid w:val="4DCE3BA6"/>
    <w:rsid w:val="4EC570CF"/>
    <w:rsid w:val="4F7C69DF"/>
    <w:rsid w:val="500122BE"/>
    <w:rsid w:val="508C2346"/>
    <w:rsid w:val="50D52E44"/>
    <w:rsid w:val="51FB399C"/>
    <w:rsid w:val="521146A0"/>
    <w:rsid w:val="52CD6AD9"/>
    <w:rsid w:val="53242E4C"/>
    <w:rsid w:val="53436545"/>
    <w:rsid w:val="53C52E26"/>
    <w:rsid w:val="540E2D4B"/>
    <w:rsid w:val="54115081"/>
    <w:rsid w:val="5428727B"/>
    <w:rsid w:val="54395160"/>
    <w:rsid w:val="54465DDA"/>
    <w:rsid w:val="5459687D"/>
    <w:rsid w:val="549579CC"/>
    <w:rsid w:val="54B95146"/>
    <w:rsid w:val="55A976C3"/>
    <w:rsid w:val="55F0580D"/>
    <w:rsid w:val="55F96978"/>
    <w:rsid w:val="563D29F4"/>
    <w:rsid w:val="56B74D5C"/>
    <w:rsid w:val="59565C5D"/>
    <w:rsid w:val="59A86C49"/>
    <w:rsid w:val="59AC3786"/>
    <w:rsid w:val="5A0332E8"/>
    <w:rsid w:val="5A0B3572"/>
    <w:rsid w:val="5AC354A3"/>
    <w:rsid w:val="5B13718C"/>
    <w:rsid w:val="5BB62A6D"/>
    <w:rsid w:val="5BEE29AE"/>
    <w:rsid w:val="5C7441AC"/>
    <w:rsid w:val="5D296FA7"/>
    <w:rsid w:val="5DAD09B0"/>
    <w:rsid w:val="5DF528E2"/>
    <w:rsid w:val="5E0B5471"/>
    <w:rsid w:val="5EE6281D"/>
    <w:rsid w:val="5F907FE2"/>
    <w:rsid w:val="5FA81006"/>
    <w:rsid w:val="5FDA6B2B"/>
    <w:rsid w:val="603F2C3F"/>
    <w:rsid w:val="612022BE"/>
    <w:rsid w:val="61FC5606"/>
    <w:rsid w:val="622662E2"/>
    <w:rsid w:val="622F519A"/>
    <w:rsid w:val="62AB1E11"/>
    <w:rsid w:val="633C1C89"/>
    <w:rsid w:val="63BE7EB1"/>
    <w:rsid w:val="64EE7223"/>
    <w:rsid w:val="653D2BDC"/>
    <w:rsid w:val="655F033B"/>
    <w:rsid w:val="66CE76D2"/>
    <w:rsid w:val="66F80FE6"/>
    <w:rsid w:val="678D7686"/>
    <w:rsid w:val="679B5BF8"/>
    <w:rsid w:val="67CA0C86"/>
    <w:rsid w:val="680F2443"/>
    <w:rsid w:val="69737281"/>
    <w:rsid w:val="699B1653"/>
    <w:rsid w:val="6ADB4FCE"/>
    <w:rsid w:val="6B177D02"/>
    <w:rsid w:val="6B3E41CF"/>
    <w:rsid w:val="6B455F18"/>
    <w:rsid w:val="6C3F2143"/>
    <w:rsid w:val="6C9456EB"/>
    <w:rsid w:val="6CA97BD1"/>
    <w:rsid w:val="6D6126D4"/>
    <w:rsid w:val="6DB54D05"/>
    <w:rsid w:val="6E8804DE"/>
    <w:rsid w:val="6F4B5F75"/>
    <w:rsid w:val="6FB30E9F"/>
    <w:rsid w:val="6FB54913"/>
    <w:rsid w:val="6FED79D4"/>
    <w:rsid w:val="703F1979"/>
    <w:rsid w:val="70EF368C"/>
    <w:rsid w:val="71065EE0"/>
    <w:rsid w:val="712E36CD"/>
    <w:rsid w:val="71332F2D"/>
    <w:rsid w:val="71451406"/>
    <w:rsid w:val="71492E98"/>
    <w:rsid w:val="71E6213D"/>
    <w:rsid w:val="71F514B3"/>
    <w:rsid w:val="7251396B"/>
    <w:rsid w:val="72831762"/>
    <w:rsid w:val="729F68D8"/>
    <w:rsid w:val="72E20AD3"/>
    <w:rsid w:val="73621191"/>
    <w:rsid w:val="73816617"/>
    <w:rsid w:val="73D41972"/>
    <w:rsid w:val="73D86B4B"/>
    <w:rsid w:val="741C7DDF"/>
    <w:rsid w:val="74911051"/>
    <w:rsid w:val="75EE7FDE"/>
    <w:rsid w:val="763A3B79"/>
    <w:rsid w:val="76455D7F"/>
    <w:rsid w:val="765F4F24"/>
    <w:rsid w:val="769363F8"/>
    <w:rsid w:val="7711139E"/>
    <w:rsid w:val="789920E5"/>
    <w:rsid w:val="78C52C66"/>
    <w:rsid w:val="78FC62DB"/>
    <w:rsid w:val="79020F20"/>
    <w:rsid w:val="79ED671E"/>
    <w:rsid w:val="7A34113E"/>
    <w:rsid w:val="7A552B10"/>
    <w:rsid w:val="7A87057E"/>
    <w:rsid w:val="7AEF76F3"/>
    <w:rsid w:val="7B205D40"/>
    <w:rsid w:val="7B2F33EA"/>
    <w:rsid w:val="7B7C0BA2"/>
    <w:rsid w:val="7BEB6ECE"/>
    <w:rsid w:val="7C1608A1"/>
    <w:rsid w:val="7C2D2278"/>
    <w:rsid w:val="7D65071D"/>
    <w:rsid w:val="7E072865"/>
    <w:rsid w:val="7EDE6D04"/>
    <w:rsid w:val="7F2806AC"/>
    <w:rsid w:val="7FD91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5">
    <w:name w:val="Default Paragraph Font"/>
    <w:semiHidden/>
    <w:unhideWhenUsed/>
    <w:uiPriority w:val="1"/>
  </w:style>
  <w:style w:type="table" w:default="1" w:styleId="18">
    <w:name w:val="Normal Table"/>
    <w:semiHidden/>
    <w:unhideWhenUsed/>
    <w:uiPriority w:val="99"/>
    <w:tblPr>
      <w:tblLayout w:type="fixed"/>
      <w:tblCellMar>
        <w:top w:w="0" w:type="dxa"/>
        <w:left w:w="108" w:type="dxa"/>
        <w:bottom w:w="0" w:type="dxa"/>
        <w:right w:w="108" w:type="dxa"/>
      </w:tblCellMar>
    </w:tblPr>
  </w:style>
  <w:style w:type="paragraph" w:styleId="4">
    <w:name w:val="toc 7"/>
    <w:next w:val="1"/>
    <w:qFormat/>
    <w:uiPriority w:val="0"/>
    <w:pPr>
      <w:ind w:left="1260"/>
    </w:pPr>
    <w:rPr>
      <w:rFonts w:ascii="Times New Roman" w:hAnsi="Times New Roman" w:eastAsia="宋体" w:cs="Times New Roman"/>
      <w:sz w:val="18"/>
      <w:szCs w:val="18"/>
      <w:lang w:val="en-US" w:eastAsia="zh-CN" w:bidi="ar-SA"/>
    </w:rPr>
  </w:style>
  <w:style w:type="paragraph" w:styleId="5">
    <w:name w:val="toc 5"/>
    <w:next w:val="1"/>
    <w:uiPriority w:val="0"/>
    <w:pPr>
      <w:ind w:left="840"/>
    </w:pPr>
    <w:rPr>
      <w:rFonts w:ascii="Times New Roman" w:hAnsi="Times New Roman" w:eastAsia="宋体" w:cs="Times New Roman"/>
      <w:sz w:val="18"/>
      <w:szCs w:val="18"/>
      <w:lang w:val="en-US" w:eastAsia="zh-CN" w:bidi="ar-SA"/>
    </w:rPr>
  </w:style>
  <w:style w:type="paragraph" w:styleId="6">
    <w:name w:val="toc 3"/>
    <w:next w:val="1"/>
    <w:qFormat/>
    <w:uiPriority w:val="0"/>
    <w:pPr>
      <w:ind w:left="420"/>
    </w:pPr>
    <w:rPr>
      <w:rFonts w:ascii="Times New Roman" w:hAnsi="Times New Roman" w:eastAsia="宋体" w:cs="Times New Roman"/>
      <w:i/>
      <w:iCs/>
      <w:lang w:val="en-US" w:eastAsia="zh-CN" w:bidi="ar-SA"/>
    </w:rPr>
  </w:style>
  <w:style w:type="paragraph" w:styleId="7">
    <w:name w:val="toc 8"/>
    <w:next w:val="1"/>
    <w:uiPriority w:val="0"/>
    <w:pPr>
      <w:ind w:left="1470"/>
    </w:pPr>
    <w:rPr>
      <w:rFonts w:ascii="Times New Roman" w:hAnsi="Times New Roman" w:eastAsia="宋体" w:cs="Times New Roman"/>
      <w:sz w:val="18"/>
      <w:szCs w:val="18"/>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next w:val="1"/>
    <w:qFormat/>
    <w:uiPriority w:val="0"/>
    <w:pPr>
      <w:spacing w:beforeLines="38" w:afterLines="38"/>
    </w:pPr>
    <w:rPr>
      <w:rFonts w:ascii="Times New Roman" w:hAnsi="Times New Roman" w:eastAsia="宋体" w:cs="Times New Roman"/>
      <w:b/>
      <w:bCs/>
      <w:lang w:val="en-US" w:eastAsia="zh-CN" w:bidi="ar-SA"/>
    </w:rPr>
  </w:style>
  <w:style w:type="paragraph" w:styleId="11">
    <w:name w:val="toc 4"/>
    <w:next w:val="1"/>
    <w:qFormat/>
    <w:uiPriority w:val="0"/>
    <w:pPr>
      <w:ind w:left="630"/>
    </w:pPr>
    <w:rPr>
      <w:rFonts w:ascii="Times New Roman" w:hAnsi="Times New Roman" w:eastAsia="宋体" w:cs="Times New Roman"/>
      <w:sz w:val="18"/>
      <w:szCs w:val="18"/>
      <w:lang w:val="en-US" w:eastAsia="zh-CN" w:bidi="ar-SA"/>
    </w:rPr>
  </w:style>
  <w:style w:type="paragraph" w:styleId="12">
    <w:name w:val="toc 6"/>
    <w:next w:val="1"/>
    <w:uiPriority w:val="0"/>
    <w:pPr>
      <w:ind w:left="1050"/>
    </w:pPr>
    <w:rPr>
      <w:rFonts w:ascii="Times New Roman" w:hAnsi="Times New Roman" w:eastAsia="宋体" w:cs="Times New Roman"/>
      <w:sz w:val="18"/>
      <w:szCs w:val="18"/>
      <w:lang w:val="en-US" w:eastAsia="zh-CN" w:bidi="ar-SA"/>
    </w:rPr>
  </w:style>
  <w:style w:type="paragraph" w:styleId="13">
    <w:name w:val="toc 2"/>
    <w:next w:val="1"/>
    <w:qFormat/>
    <w:uiPriority w:val="0"/>
    <w:pPr>
      <w:ind w:left="210"/>
    </w:pPr>
    <w:rPr>
      <w:rFonts w:ascii="Times New Roman" w:hAnsi="Times New Roman" w:eastAsia="宋体" w:cs="Times New Roman"/>
      <w:smallCaps/>
      <w:lang w:val="en-US" w:eastAsia="zh-CN" w:bidi="ar-SA"/>
    </w:rPr>
  </w:style>
  <w:style w:type="paragraph" w:styleId="14">
    <w:name w:val="toc 9"/>
    <w:next w:val="1"/>
    <w:uiPriority w:val="0"/>
    <w:pPr>
      <w:ind w:left="1680"/>
    </w:pPr>
    <w:rPr>
      <w:rFonts w:ascii="Times New Roman" w:hAnsi="Times New Roman" w:eastAsia="宋体" w:cs="Times New Roman"/>
      <w:sz w:val="18"/>
      <w:szCs w:val="18"/>
      <w:lang w:val="en-US" w:eastAsia="zh-CN" w:bidi="ar-SA"/>
    </w:rPr>
  </w:style>
  <w:style w:type="character" w:styleId="16">
    <w:name w:val="FollowedHyperlink"/>
    <w:basedOn w:val="15"/>
    <w:uiPriority w:val="0"/>
    <w:rPr>
      <w:color w:val="800080"/>
      <w:u w:val="single"/>
    </w:rPr>
  </w:style>
  <w:style w:type="character" w:styleId="17">
    <w:name w:val="Hyperlink"/>
    <w:basedOn w:val="15"/>
    <w:qFormat/>
    <w:uiPriority w:val="0"/>
    <w:rPr>
      <w:color w:val="0000FF"/>
      <w:u w:val="single"/>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1688</Words>
  <Characters>9628</Characters>
  <Lines>80</Lines>
  <Paragraphs>22</Paragraphs>
  <TotalTime>0</TotalTime>
  <ScaleCrop>false</ScaleCrop>
  <LinksUpToDate>false</LinksUpToDate>
  <CharactersWithSpaces>11294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2018-01-11T02:28:00Z</dcterms:created>
  <dc:creator>wangyin</dc:creator>
  <cp:lastModifiedBy>启励传感</cp:lastModifiedBy>
  <dcterms:modified xsi:type="dcterms:W3CDTF">2018-04-25T07:09:31Z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